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跨境电商代运营服务合同</w:t>
      </w:r>
    </w:p>
    <w:p>
      <w:pPr>
        <w:jc w:val="center"/>
      </w:pPr>
      <w:r>
        <w:rPr>
          <w:rFonts w:ascii="微软雅黑" w:hAnsi="微软雅黑" w:eastAsia="微软雅黑"/>
          <w:b w:val="0"/>
          <w:sz w:val="21"/>
        </w:rPr>
        <w:t>合同编号：MNHT-2026-026    合同类别：跨境电商</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冒号工坊公司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月亮口袋公司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690,000.00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2026年3月5日 至 2027年2月28日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上海</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2026年2月25日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邵今安 / 010-6020-2020</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林半夏 / 028-6010-2016</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跨境电商，适用于双方围绕“海外店铺搭建、商品翻译、站内广告、订单协同和运营复盘”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甲方：冒号工坊公司。联系地址：北京市朝阳区工坊南街20号；项目联系人：邵今安；联系电话：010-6020-2020；法务邮箱 legal-maohao@example.test。</w:t>
      </w:r>
    </w:p>
    <w:p>
      <w:pPr>
        <w:spacing w:line="307" w:lineRule="auto" w:after="100"/>
        <w:ind w:firstLine="420"/>
      </w:pPr>
      <w:r>
        <w:rPr>
          <w:rFonts w:ascii="微软雅黑" w:hAnsi="微软雅黑" w:eastAsia="微软雅黑"/>
          <w:b w:val="0"/>
          <w:sz w:val="21"/>
        </w:rPr>
        <w:t>乙方：月亮口袋公司。联系地址：成都市高新区月袋街6号；项目联系人：林半夏；联系电话：028-6010-2016；法务邮箱 legal-yueliang@example.test。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乙方根据甲方要求提供或完成：海外店铺搭建、商品翻译、站内广告、订单协同和运营复盘。具体型号、数量、服务频次、技术规格、人员安排、实施计划和交付标准，以本合同及附件《项目范围清单》为准。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主要交付物包括：店铺设置清单、商品页面、广告报表、订单报表、运营月报。乙方应保证交付物完整、清晰、可核验，并满足甲方在合同目的范围内的合理使用需求。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特别约定：乙方应遵守平台规则、出口管制、知识产权和消费者保护相关要求。本条特别约定优先适用于本合同项下对应业务，如与通用条款不一致，以特别约定为准。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合同履行期限自2026年3月5日起至2027年2月28日止。双方可根据项目进展另行确认阶段计划，阶段计划作为本合同附件，与正文具有同等效力。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履行地点以上海及甲方指定办公、仓储、线上系统或项目现场为主；涉及远程交付的，乙方应通过双方确认的系统、邮箱、网盘或项目管理工具提交。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乙方应在关键节点到期前至少15个工作日向甲方提示待确认事项。因甲方迟延提供资料、场地、账号、审批或验收意见导致工期受影响的，工期可相应顺延，但乙方应及时履行提醒和减损义务。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690,000.00 元（含税，最终以双方确认的结算单为准）。</w:t>
      </w:r>
    </w:p>
    <w:p>
      <w:pPr>
        <w:spacing w:line="307" w:lineRule="auto" w:after="100"/>
        <w:ind w:firstLine="420"/>
      </w:pPr>
      <w:r>
        <w:rPr>
          <w:rFonts w:ascii="微软雅黑" w:hAnsi="微软雅黑" w:eastAsia="微软雅黑"/>
          <w:b w:val="0"/>
          <w:sz w:val="21"/>
        </w:rPr>
        <w:t>付款方式：基础服务费按月支付，绩效费用按约定毛利率区间计算。甲方付款前，乙方应提交合法有效发票、经双方确认的阶段成果、验收单或结算明细。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补充要求：涉及境外税费、退货仓、平台冻结资金或账户风控时，双方应按责任归属处理。</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乙方对交付成果提供不少于24个月的质量保证或持续服务支持，具体起算时间为最终验收合格之日。法律法规、行业标准或产品说明要求更长期限的，从其规定或说明。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乙方逾期交付、逾期整改或逾期提供服务的，每逾期一日，按每延迟一日支付人民币1000元向甲方支付违约金；违约金不足以弥补甲方损失的，乙方还应赔偿差额。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因本合同产生或与本合同有关的争议，双方应先友好协商；协商不成的，任一方可向上海有管辖权的人民法院提起诉讼。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签署日期：2026年2月25日。签署地点：上海。</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甲方：冒号工坊公司</w:t>
            </w:r>
          </w:p>
        </w:tc>
        <w:tc>
          <w:tcPr>
            <w:tcW w:type="dxa" w:w="4816"/>
            <w:shd w:fill="EAF2F8"/>
          </w:tcPr>
          <w:p>
            <w:r/>
            <w:r>
              <w:rPr>
                <w:rFonts w:ascii="微软雅黑" w:hAnsi="微软雅黑" w:eastAsia="微软雅黑"/>
                <w:b/>
                <w:sz w:val="21"/>
              </w:rPr>
              <w:t>乙方：月亮口袋公司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日期：2026年2月25日</w:t>
            </w:r>
          </w:p>
        </w:tc>
        <w:tc>
          <w:tcPr>
            <w:tcW w:type="dxa" w:w="4816"/>
          </w:tcPr>
          <w:p>
            <w:r/>
            <w:r>
              <w:rPr>
                <w:rFonts w:ascii="微软雅黑" w:hAnsi="微软雅黑" w:eastAsia="微软雅黑"/>
                <w:b w:val="0"/>
                <w:sz w:val="21"/>
              </w:rPr>
              <w:t>日期：2026年2月25日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MNHT-2026-026 -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