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9936"/>
      </w:tblGrid>
      <w:tr>
        <w:trPr>
          <w:trHeight w:val="60"/>
        </w:trPr>
        <w:tc>
          <w:tcPr>
            <w:tcW w:type="dxa" w:w="504"/>
            <w:shd w:fill="D84A32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  <w:tc>
          <w:tcPr>
            <w:tcW w:type="dxa" w:w="9936"/>
            <w:shd w:fill="F2EEE6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FINAL WEB SERVICE PROJECT</w:t>
      </w:r>
    </w:p>
    <w:p>
      <w:pPr>
        <w:pStyle w:val="Title"/>
      </w:pPr>
      <w:r>
        <w:t>CampusFlow</w:t>
        <w:br/>
        <w:t>Live Demonstration</w:t>
      </w:r>
    </w:p>
    <w:p>
      <w:pPr>
        <w:pStyle w:val="Subtitle"/>
      </w:pPr>
      <w:r>
        <w:t>An English cue sheet for the classroom live demonstration.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20"/>
            <w:vAlign w:val="center"/>
            <w:shd w:fill="FAF7F0"/>
            <w:tcBorders>
              <w:top w:val="single" w:sz="6" w:space="0" w:color="C7C0B5"/>
              <w:bottom w:val="single" w:sz="6" w:space="0" w:color="C7C0B5"/>
              <w:left w:val="single" w:sz="6" w:space="0" w:color="C7C0B5"/>
              <w:right w:val="single" w:sz="6" w:space="0" w:color="C7C0B5"/>
            </w:tcBorders>
          </w:tcPr>
          <w:p>
            <w:pPr>
              <w:spacing w:after="40"/>
              <w:jc w:val="center"/>
            </w:pPr>
            <w:r>
              <w:rPr>
                <w:rFonts w:ascii="Georgia" w:hAnsi="Georgia"/>
                <w:color w:val="D84A32"/>
                <w:sz w:val="34"/>
              </w:rPr>
              <w:t>6–8 min</w:t>
            </w:r>
          </w:p>
          <w:p>
            <w:pPr>
              <w:spacing w:after="0"/>
              <w:jc w:val="center"/>
            </w:pPr>
            <w:r>
              <w:rPr>
                <w:rFonts w:ascii="Aptos Mono" w:hAnsi="Aptos Mono"/>
                <w:b/>
                <w:color w:val="5D5952"/>
                <w:sz w:val="15"/>
              </w:rPr>
              <w:t>TARGET LENGTH</w:t>
            </w:r>
          </w:p>
        </w:tc>
        <w:tc>
          <w:tcPr>
            <w:tcW w:type="dxa" w:w="2520"/>
            <w:vAlign w:val="center"/>
            <w:shd w:fill="FAF7F0"/>
            <w:tcBorders>
              <w:top w:val="single" w:sz="6" w:space="0" w:color="C7C0B5"/>
              <w:bottom w:val="single" w:sz="6" w:space="0" w:color="C7C0B5"/>
              <w:left w:val="single" w:sz="6" w:space="0" w:color="C7C0B5"/>
              <w:right w:val="single" w:sz="6" w:space="0" w:color="C7C0B5"/>
            </w:tcBorders>
          </w:tcPr>
          <w:p>
            <w:pPr>
              <w:spacing w:after="40"/>
              <w:jc w:val="center"/>
            </w:pPr>
            <w:r>
              <w:rPr>
                <w:rFonts w:ascii="Georgia" w:hAnsi="Georgia"/>
                <w:color w:val="D84A32"/>
                <w:sz w:val="34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ptos Mono" w:hAnsi="Aptos Mono"/>
                <w:b/>
                <w:color w:val="5D5952"/>
                <w:sz w:val="15"/>
              </w:rPr>
              <w:t>PAGES</w:t>
            </w:r>
          </w:p>
        </w:tc>
        <w:tc>
          <w:tcPr>
            <w:tcW w:type="dxa" w:w="2520"/>
            <w:vAlign w:val="center"/>
            <w:shd w:fill="FAF7F0"/>
            <w:tcBorders>
              <w:top w:val="single" w:sz="6" w:space="0" w:color="C7C0B5"/>
              <w:bottom w:val="single" w:sz="6" w:space="0" w:color="C7C0B5"/>
              <w:left w:val="single" w:sz="6" w:space="0" w:color="C7C0B5"/>
              <w:right w:val="single" w:sz="6" w:space="0" w:color="C7C0B5"/>
            </w:tcBorders>
          </w:tcPr>
          <w:p>
            <w:pPr>
              <w:spacing w:after="40"/>
              <w:jc w:val="center"/>
            </w:pPr>
            <w:r>
              <w:rPr>
                <w:rFonts w:ascii="Georgia" w:hAnsi="Georgia"/>
                <w:color w:val="D84A32"/>
                <w:sz w:val="34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 Mono" w:hAnsi="Aptos Mono"/>
                <w:b/>
                <w:color w:val="5D5952"/>
                <w:sz w:val="15"/>
              </w:rPr>
              <w:t>EXTERNAL APIS</w:t>
            </w:r>
          </w:p>
        </w:tc>
        <w:tc>
          <w:tcPr>
            <w:tcW w:type="dxa" w:w="2520"/>
            <w:vAlign w:val="center"/>
            <w:shd w:fill="FAF7F0"/>
            <w:tcBorders>
              <w:top w:val="single" w:sz="6" w:space="0" w:color="C7C0B5"/>
              <w:bottom w:val="single" w:sz="6" w:space="0" w:color="C7C0B5"/>
              <w:left w:val="single" w:sz="6" w:space="0" w:color="C7C0B5"/>
              <w:right w:val="single" w:sz="6" w:space="0" w:color="C7C0B5"/>
            </w:tcBorders>
          </w:tcPr>
          <w:p>
            <w:pPr>
              <w:spacing w:after="40"/>
              <w:jc w:val="center"/>
            </w:pPr>
            <w:r>
              <w:rPr>
                <w:rFonts w:ascii="Georgia" w:hAnsi="Georgia"/>
                <w:color w:val="D84A32"/>
                <w:sz w:val="34"/>
              </w:rPr>
              <w:t>local first</w:t>
            </w:r>
          </w:p>
          <w:p>
            <w:pPr>
              <w:spacing w:after="0"/>
              <w:jc w:val="center"/>
            </w:pPr>
            <w:r>
              <w:rPr>
                <w:rFonts w:ascii="Aptos Mono" w:hAnsi="Aptos Mono"/>
                <w:b/>
                <w:color w:val="5D5952"/>
                <w:sz w:val="15"/>
              </w:rPr>
              <w:t>DEMO MODE</w:t>
            </w:r>
          </w:p>
        </w:tc>
      </w:tr>
    </w:tbl>
    <w:p>
      <w:pPr>
        <w:spacing w:after="0"/>
      </w:pPr>
    </w:p>
    <w:p>
      <w:r>
        <w:t>The demonstration follows the user’s natural path: begin as a guest, show useful public content, create or restore an account, personalize the page, and publish owned work.</w:t>
      </w:r>
    </w:p>
    <w:p>
      <w:pPr>
        <w:pStyle w:val="Heading1"/>
      </w:pPr>
      <w:r>
        <w:t>Run of show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sz w:val="20"/>
              </w:rPr>
              <w:t>Today</w:t>
            </w:r>
          </w:p>
        </w:tc>
        <w:tc>
          <w:tcPr>
            <w:tcW w:type="dxa" w:w="936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 Mono" w:hAnsi="Aptos Mono"/>
                <w:color w:val="D84A32"/>
                <w:sz w:val="18"/>
              </w:rPr>
              <w:t>1:30</w:t>
            </w:r>
          </w:p>
        </w:tc>
        <w:tc>
          <w:tcPr>
            <w:tcW w:type="dxa" w:w="7200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5D5952"/>
                <w:sz w:val="19"/>
              </w:rPr>
              <w:t>Current date, Kyoto preset, live weather and country data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sz w:val="20"/>
              </w:rPr>
              <w:t>Portfolio</w:t>
            </w:r>
          </w:p>
        </w:tc>
        <w:tc>
          <w:tcPr>
            <w:tcW w:type="dxa" w:w="936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 Mono" w:hAnsi="Aptos Mono"/>
                <w:color w:val="D84A32"/>
                <w:sz w:val="18"/>
              </w:rPr>
              <w:t>1:15</w:t>
            </w:r>
          </w:p>
        </w:tc>
        <w:tc>
          <w:tcPr>
            <w:tcW w:type="dxa" w:w="7200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5D5952"/>
                <w:sz w:val="19"/>
              </w:rPr>
              <w:t>Guest exhibition, four preset works, owner-only editing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sz w:val="20"/>
              </w:rPr>
              <w:t>Account</w:t>
            </w:r>
          </w:p>
        </w:tc>
        <w:tc>
          <w:tcPr>
            <w:tcW w:type="dxa" w:w="936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 Mono" w:hAnsi="Aptos Mono"/>
                <w:color w:val="D84A32"/>
                <w:sz w:val="18"/>
              </w:rPr>
              <w:t>1:15</w:t>
            </w:r>
          </w:p>
        </w:tc>
        <w:tc>
          <w:tcPr>
            <w:tcW w:type="dxa" w:w="7200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5D5952"/>
                <w:sz w:val="19"/>
              </w:rPr>
              <w:t>Local sign-in first, masked password, optional OAuth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sz w:val="20"/>
              </w:rPr>
              <w:t>Personalize</w:t>
            </w:r>
          </w:p>
        </w:tc>
        <w:tc>
          <w:tcPr>
            <w:tcW w:type="dxa" w:w="936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 Mono" w:hAnsi="Aptos Mono"/>
                <w:color w:val="D84A32"/>
                <w:sz w:val="18"/>
              </w:rPr>
              <w:t>2:00</w:t>
            </w:r>
          </w:p>
        </w:tc>
        <w:tc>
          <w:tcPr>
            <w:tcW w:type="dxa" w:w="7200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5D5952"/>
                <w:sz w:val="19"/>
              </w:rPr>
              <w:t>Save profile, usual place, and one portfolio work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b/>
                <w:sz w:val="20"/>
              </w:rPr>
              <w:t>Close</w:t>
            </w:r>
          </w:p>
        </w:tc>
        <w:tc>
          <w:tcPr>
            <w:tcW w:type="dxa" w:w="936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 Mono" w:hAnsi="Aptos Mono"/>
                <w:color w:val="D84A32"/>
                <w:sz w:val="18"/>
              </w:rPr>
              <w:t>0:30</w:t>
            </w:r>
          </w:p>
        </w:tc>
        <w:tc>
          <w:tcPr>
            <w:tcW w:type="dxa" w:w="7200"/>
            <w:tcBorders>
              <w:bottom w:val="single" w:sz="5" w:space="0" w:color="C7C0B5"/>
            </w:tcBorders>
          </w:tcPr>
          <w:p>
            <w:pPr>
              <w:spacing w:after="80"/>
            </w:pPr>
            <w:r>
              <w:rPr>
                <w:rFonts w:ascii="Aptos" w:hAnsi="Aptos"/>
                <w:color w:val="5D5952"/>
                <w:sz w:val="19"/>
              </w:rPr>
              <w:t>Sign out and return to the presentation</w:t>
            </w:r>
          </w:p>
        </w:tc>
      </w:tr>
    </w:tbl>
    <w:p/>
    <w:p>
      <w:r>
        <w:rPr>
          <w:b/>
          <w:color w:val="D84A32"/>
        </w:rPr>
        <w:t xml:space="preserve">Presenter rule: </w:t>
      </w:r>
      <w:r>
        <w:t>Demonstrate one successful path. Do not refresh or restart the Azure service during class; the local container is the primary demonstration target.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9936"/>
      </w:tblGrid>
      <w:tr>
        <w:trPr>
          <w:trHeight w:val="60"/>
        </w:trPr>
        <w:tc>
          <w:tcPr>
            <w:tcW w:type="dxa" w:w="504"/>
            <w:shd w:fill="D84A32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  <w:tc>
          <w:tcPr>
            <w:tcW w:type="dxa" w:w="9936"/>
            <w:shd w:fill="F2EEE6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BEFORE ENTERING THE CLASSROOM</w:t>
      </w:r>
    </w:p>
    <w:p>
      <w:pPr>
        <w:pStyle w:val="Title"/>
      </w:pPr>
      <w:r>
        <w:t>Preflight checklist</w:t>
      </w:r>
    </w:p>
    <w:p>
      <w:pPr>
        <w:pStyle w:val="Subtitle"/>
      </w:pPr>
      <w:r>
        <w:t>Prepare the state once, then leave it stable.</w:t>
      </w:r>
    </w:p>
    <w:p>
      <w:pPr>
        <w:pStyle w:val="Heading1"/>
      </w:pPr>
      <w:r>
        <w:t>Application</w:t>
      </w:r>
    </w:p>
    <w:p>
      <w:pPr>
        <w:pStyle w:val="ListBullet"/>
      </w:pPr>
      <w:r>
        <w:t>Start the local Docker Compose stack before the presentation.</w:t>
      </w:r>
    </w:p>
    <w:p>
      <w:pPr>
        <w:pStyle w:val="ListBullet"/>
      </w:pPr>
      <w:r>
        <w:t>Open CampusFlow in one browser tab and the slide deck in presentation mode.</w:t>
      </w:r>
    </w:p>
    <w:p>
      <w:pPr>
        <w:pStyle w:val="ListBullet"/>
      </w:pPr>
      <w:r>
        <w:t>Confirm that Today is the default page and that the Japan date is current.</w:t>
      </w:r>
    </w:p>
    <w:p>
      <w:pPr>
        <w:pStyle w:val="ListBullet"/>
      </w:pPr>
      <w:r>
        <w:t>Confirm that the guest Portfolio shows one profile and four distinct works.</w:t>
      </w:r>
    </w:p>
    <w:p>
      <w:pPr>
        <w:pStyle w:val="ListBullet"/>
      </w:pPr>
      <w:r>
        <w:t>Keep the browser language set to English for the spoken demonstration.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1613"/>
            <w:tcBorders>
              <w:top w:val="single" w:sz="6" w:space="0" w:color="171613"/>
              <w:bottom w:val="single" w:sz="6" w:space="0" w:color="171613"/>
              <w:left w:val="single" w:sz="6" w:space="0" w:color="171613"/>
              <w:right w:val="single" w:sz="6" w:space="0" w:color="171613"/>
            </w:tcBorders>
          </w:tcPr>
          <w:p>
            <w:pPr>
              <w:spacing w:after="0"/>
            </w:pPr>
            <w:r>
              <w:rPr>
                <w:rFonts w:ascii="Aptos Mono" w:hAnsi="Aptos Mono"/>
                <w:color w:val="FAF7F0"/>
                <w:sz w:val="17"/>
              </w:rPr>
              <w:t>LOCAL  http://localhost:8080/index.html</w:t>
            </w:r>
          </w:p>
        </w:tc>
      </w:tr>
    </w:tbl>
    <w:p>
      <w:pPr>
        <w:pStyle w:val="Heading1"/>
      </w:pPr>
      <w:r>
        <w:t>Prepared account</w:t>
      </w:r>
    </w:p>
    <w:p>
      <w:pPr>
        <w:pStyle w:val="ListBullet"/>
      </w:pPr>
      <w:r>
        <w:t>Use a normal USER account prepared before class.</w:t>
      </w:r>
    </w:p>
    <w:p>
      <w:pPr>
        <w:pStyle w:val="ListBullet"/>
      </w:pPr>
      <w:r>
        <w:t>Keep its password in a private password manager or handwritten presenter note.</w:t>
      </w:r>
    </w:p>
    <w:p>
      <w:pPr>
        <w:pStyle w:val="ListBullet"/>
      </w:pPr>
      <w:r>
        <w:t>Do not place the password, administrator credentials, JWT secret, or OAuth secrets in this document.</w:t>
      </w:r>
    </w:p>
    <w:p>
      <w:pPr>
        <w:pStyle w:val="ListBullet"/>
      </w:pPr>
      <w:r>
        <w:t>Leave the account signed out at the beginning so the guest state is visible.</w:t>
      </w:r>
    </w:p>
    <w:p>
      <w:pPr>
        <w:pStyle w:val="Heading1"/>
      </w:pPr>
      <w:r>
        <w:t>Optional cloud tab</w:t>
      </w:r>
    </w:p>
    <w:p>
      <w:pPr>
        <w:spacing w:after="100"/>
      </w:pPr>
      <w:r>
        <w:t>Keep the published address available only as proof of deployment. Do not use it as the main click path if the free Azure plan is near its daily quota.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1613"/>
            <w:tcBorders>
              <w:top w:val="single" w:sz="6" w:space="0" w:color="171613"/>
              <w:bottom w:val="single" w:sz="6" w:space="0" w:color="171613"/>
              <w:left w:val="single" w:sz="6" w:space="0" w:color="171613"/>
              <w:right w:val="single" w:sz="6" w:space="0" w:color="171613"/>
            </w:tcBorders>
          </w:tcPr>
          <w:p>
            <w:pPr>
              <w:spacing w:after="0"/>
            </w:pPr>
            <w:r>
              <w:rPr>
                <w:rFonts w:ascii="Aptos Mono" w:hAnsi="Aptos Mono"/>
                <w:color w:val="FAF7F0"/>
                <w:sz w:val="17"/>
              </w:rPr>
              <w:t>AZURE  https://campusflow-final-0724-grbzdrczdqdyhyea.japanwest-01.azurewebsites.net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9936"/>
      </w:tblGrid>
      <w:tr>
        <w:trPr>
          <w:trHeight w:val="60"/>
        </w:trPr>
        <w:tc>
          <w:tcPr>
            <w:tcW w:type="dxa" w:w="504"/>
            <w:shd w:fill="D84A32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  <w:tc>
          <w:tcPr>
            <w:tcW w:type="dxa" w:w="9936"/>
            <w:shd w:fill="F2EEE6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GUEST PATH</w:t>
      </w:r>
    </w:p>
    <w:p>
      <w:pPr>
        <w:pStyle w:val="Title"/>
      </w:pPr>
      <w:r>
        <w:t>Today → Portfolio</w:t>
      </w:r>
    </w:p>
    <w:p>
      <w:pPr>
        <w:pStyle w:val="Subtitle"/>
      </w:pPr>
      <w:r>
        <w:t>Show value before asking the visitor to sign 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01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Open CampusFlow on Today.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“CampusFlow opens in guest mode, so the service is useful before an account is created.”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Today is active; the local date is current; the Kyoto preset is already readable.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02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Point to the location inputs and the weather panel.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“The browser sends a country and city to my Spring Boot service. The backend combines REST Countries with Open-Meteo and returns one response for the page.”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Country, city, weather, and advice appear as one coherent result rather than raw API output.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03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Change the city once, then choose Search.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“This is the original service feature: the response turns external data into everyday context and weather-aware advice.”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The loading state appears briefly, then the date, weather, country information, and advice update together.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04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Open Portfolio.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“The second page is a public exhibition. It is not limited to a résumé: the same structure can present photography, illustration, design, notes, or a mixed collection.”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The guest profile is visible and four distinct preset works are laid out without overlap.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05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Point to the editing affordance without using it yet.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“Guests can browse, but only the signed-in owner can change the profile or the works.”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The page remains public while edit controls stay protected.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9936"/>
      </w:tblGrid>
      <w:tr>
        <w:trPr>
          <w:trHeight w:val="60"/>
        </w:trPr>
        <w:tc>
          <w:tcPr>
            <w:tcW w:type="dxa" w:w="504"/>
            <w:shd w:fill="D84A32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  <w:tc>
          <w:tcPr>
            <w:tcW w:type="dxa" w:w="9936"/>
            <w:shd w:fill="F2EEE6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AUTHENTICATED PATH</w:t>
      </w:r>
    </w:p>
    <w:p>
      <w:pPr>
        <w:pStyle w:val="Title"/>
      </w:pPr>
      <w:r>
        <w:t>Account → Personalize</w:t>
      </w:r>
    </w:p>
    <w:p>
      <w:pPr>
        <w:pStyle w:val="Subtitle"/>
      </w:pPr>
      <w:r>
        <w:t>Local accounts are primary; third-party identity is secondary.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06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Open Account, then open the sign-in dialog.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“The primary path is a normal local account. Google and GitHub are optional third-party alternatives.”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The light editorial dialog opens; username and password are visually primary.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07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Enter the prepared username and password.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“The password stays masked in the browser and is stored as a BCrypt hash on the server.”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The password characters are not shown as plain text.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08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Choose Login.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“After authentication, the secure session restores the user’s authorized name, avatar, profile, saved place, and owned work.”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The account state changes from guest to the prepared USER account.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09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Edit one profile field and save the usual place.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“The owner can personalize both identity and daily context. The backend checks the session and ownership before saving.”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Refresh the page once only if needed; the saved values remain.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10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Add or edit one portfolio work, then save.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“A user can maintain a small exhibition rather than filling in a fixed résumé form.”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The new or edited work appears in the user’s own collection.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92"/>
            <w:vAlign w:val="top"/>
            <w:shd w:fill="D84A32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before="140"/>
              <w:jc w:val="center"/>
            </w:pPr>
            <w:r>
              <w:rPr>
                <w:rFonts w:ascii="Aptos Mono" w:hAnsi="Aptos Mono"/>
                <w:b/>
                <w:color w:val="FAF7F0"/>
                <w:sz w:val="20"/>
              </w:rPr>
              <w:t>11</w:t>
            </w:r>
          </w:p>
        </w:tc>
        <w:tc>
          <w:tcPr>
            <w:tcW w:type="dxa" w:w="9216"/>
            <w:vAlign w:val="top"/>
            <w:shd w:fill="FAF7F0"/>
            <w:tcBorders>
              <w:top w:val="single" w:sz="5" w:space="0" w:color="C7C0B5"/>
              <w:bottom w:val="single" w:sz="5" w:space="0" w:color="C7C0B5"/>
              <w:left w:val="single" w:sz="5" w:space="0" w:color="C7C0B5"/>
              <w:right w:val="single" w:sz="5" w:space="0" w:color="C7C0B5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71613"/>
                <w:sz w:val="22"/>
              </w:rPr>
              <w:t>Sign out.</w:t>
            </w:r>
          </w:p>
          <w:p>
            <w:pPr>
              <w:spacing w:after="40"/>
            </w:pPr>
            <w:r>
              <w:rPr>
                <w:rFonts w:ascii="Aptos Mono" w:hAnsi="Aptos Mono"/>
                <w:b/>
                <w:color w:val="D84A32"/>
                <w:sz w:val="16"/>
              </w:rPr>
              <w:t xml:space="preserve">SAY  </w:t>
            </w:r>
            <w:r>
              <w:rPr>
                <w:rFonts w:ascii="Georgia" w:hAnsi="Georgia"/>
                <w:i/>
                <w:color w:val="5D5952"/>
                <w:sz w:val="20"/>
              </w:rPr>
              <w:t>“Signing out returns the browser to the public guest experience without exposing private editing controls.”</w:t>
            </w:r>
          </w:p>
          <w:p>
            <w:pPr>
              <w:spacing w:after="0"/>
            </w:pPr>
            <w:r>
              <w:rPr>
                <w:rFonts w:ascii="Aptos Mono" w:hAnsi="Aptos Mono"/>
                <w:b/>
                <w:color w:val="AD8140"/>
                <w:sz w:val="16"/>
              </w:rPr>
              <w:t xml:space="preserve">CONFIRM  </w:t>
            </w:r>
            <w:r>
              <w:rPr>
                <w:rFonts w:ascii="Aptos" w:hAnsi="Aptos"/>
                <w:color w:val="5D5952"/>
                <w:sz w:val="18"/>
              </w:rPr>
              <w:t>The guest profile and preset works remain available.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9936"/>
      </w:tblGrid>
      <w:tr>
        <w:trPr>
          <w:trHeight w:val="60"/>
        </w:trPr>
        <w:tc>
          <w:tcPr>
            <w:tcW w:type="dxa" w:w="504"/>
            <w:shd w:fill="D84A32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  <w:tc>
          <w:tcPr>
            <w:tcW w:type="dxa" w:w="9936"/>
            <w:shd w:fill="F2EEE6"/>
            <w:tcBorders>
              <w:top w:val="nil" w:sz="6" w:space="0" w:color="C7C0B5"/>
              <w:bottom w:val="nil" w:sz="6" w:space="0" w:color="C7C0B5"/>
              <w:left w:val="nil" w:sz="6" w:space="0" w:color="C7C0B5"/>
              <w:right w:val="nil" w:sz="6" w:space="0" w:color="C7C0B5"/>
            </w:tcBorders>
          </w:tcPr>
          <w:p>
            <w:pPr>
              <w:spacing w:after="0" w:before="0"/>
            </w:pPr>
          </w:p>
        </w:tc>
      </w:tr>
    </w:tbl>
    <w:p>
      <w:pPr>
        <w:spacing w:after="20"/>
      </w:pPr>
    </w:p>
    <w:p>
      <w:pPr>
        <w:pStyle w:val="Heading3"/>
      </w:pPr>
      <w:r>
        <w:t>KEEP THE PRESENTATION MOVING</w:t>
      </w:r>
    </w:p>
    <w:p>
      <w:pPr>
        <w:pStyle w:val="Title"/>
      </w:pPr>
      <w:r>
        <w:t>Fallback and handoff</w:t>
      </w:r>
    </w:p>
    <w:p>
      <w:pPr>
        <w:pStyle w:val="Subtitle"/>
      </w:pPr>
      <w:r>
        <w:t>Recover quietly; do not debug infrastructure in front of the class.</w:t>
      </w:r>
    </w:p>
    <w:p>
      <w:pPr>
        <w:pStyle w:val="Heading1"/>
      </w:pPr>
      <w:r>
        <w:t>If an external API is slow</w:t>
      </w:r>
    </w:p>
    <w:p>
      <w:pPr>
        <w:pStyle w:val="ListBullet"/>
      </w:pPr>
      <w:r>
        <w:t>Wait for the visible loading state once.</w:t>
      </w:r>
    </w:p>
    <w:p>
      <w:pPr>
        <w:pStyle w:val="ListBullet"/>
      </w:pPr>
      <w:r>
        <w:t>If it does not resolve, keep the Kyoto preset on screen and explain that the backend normally combines the two external responses.</w:t>
      </w:r>
    </w:p>
    <w:p>
      <w:pPr>
        <w:pStyle w:val="ListBullet"/>
      </w:pPr>
      <w:r>
        <w:t>Continue to Portfolio; do not repeat the request several times.</w:t>
      </w:r>
    </w:p>
    <w:p>
      <w:pPr>
        <w:pStyle w:val="Heading1"/>
      </w:pPr>
      <w:r>
        <w:t>If Azure is unavailable or over quota</w:t>
      </w:r>
    </w:p>
    <w:p>
      <w:pPr>
        <w:pStyle w:val="ListBullet"/>
      </w:pPr>
      <w:r>
        <w:t>Stay on the local Docker service; it runs the same Spring Boot application and frontend.</w:t>
      </w:r>
    </w:p>
    <w:p>
      <w:pPr>
        <w:pStyle w:val="ListBullet"/>
      </w:pPr>
      <w:r>
        <w:t>Show the deployment slide and published URL as delivery evidence.</w:t>
      </w:r>
    </w:p>
    <w:p>
      <w:pPr>
        <w:pStyle w:val="ListBullet"/>
      </w:pPr>
      <w:r>
        <w:t>Do not restart, redeploy, or probe the free Azure service repeatedly during class.</w:t>
      </w:r>
    </w:p>
    <w:p>
      <w:pPr>
        <w:pStyle w:val="Heading1"/>
      </w:pPr>
      <w:r>
        <w:t>If sign-in data is not ready</w:t>
      </w:r>
    </w:p>
    <w:p>
      <w:pPr>
        <w:pStyle w:val="ListBullet"/>
      </w:pPr>
      <w:r>
        <w:t>Continue in guest mode and show the protected edit affordance.</w:t>
      </w:r>
    </w:p>
    <w:p>
      <w:pPr>
        <w:pStyle w:val="ListBullet"/>
      </w:pPr>
      <w:r>
        <w:t>Use the prepared local USER account only; do not improvise with the administrator account.</w:t>
      </w:r>
    </w:p>
    <w:p>
      <w:pPr>
        <w:pStyle w:val="ListBullet"/>
      </w:pPr>
      <w:r>
        <w:t>Do not expose passwords, tokens, client secrets, or environment variables on the projector.</w:t>
      </w:r>
    </w:p>
    <w:p>
      <w:pPr>
        <w:pStyle w:val="Heading1"/>
      </w:pPr>
      <w:r>
        <w:t>Return to the deck</w:t>
      </w:r>
    </w:p>
    <w:p>
      <w:r>
        <w:rPr>
          <w:rFonts w:ascii="Aptos Mono" w:hAnsi="Aptos Mono"/>
          <w:b/>
          <w:color w:val="D84A32"/>
        </w:rPr>
        <w:t xml:space="preserve">SAY  </w:t>
      </w:r>
      <w:r>
        <w:rPr>
          <w:rFonts w:ascii="Georgia" w:hAnsi="Georgia"/>
          <w:i/>
          <w:color w:val="5D5952"/>
        </w:rPr>
        <w:t>“That completes the user journey: useful guest content, secure authentication, personalization, and an owned exhibition. I will return to the slides to explain the architecture, security, and deployment.”</w:t>
      </w:r>
    </w:p>
    <w:sectPr w:rsidR="00FC693F" w:rsidRPr="0006063C" w:rsidSect="00034616">
      <w:background w:color="F2EEE6"/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 Mono" w:hAnsi="Aptos Mono"/>
        <w:color w:val="5D5952"/>
        <w:sz w:val="16"/>
      </w:rPr>
      <w:t xml:space="preserve">CAMPUSFLOW  /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 Mono" w:hAnsi="Aptos Mono"/>
        <w:b/>
        <w:color w:val="5D5952"/>
        <w:sz w:val="16"/>
      </w:rPr>
      <w:t>CAMPUSFLOW  /  LIVE DEMONSTRATION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161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716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161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Mono" w:hAnsi="Aptos Mono"/>
      <w:b/>
      <w:bCs/>
      <w:color w:val="D84A3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Georgia" w:hAnsi="Georgia"/>
      <w:b w:val="0"/>
      <w:color w:val="17161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5D5952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16"/>
      <w:contextualSpacing/>
    </w:pPr>
    <w:rPr>
      <w:rFonts w:ascii="Aptos" w:hAnsi="Aptos"/>
      <w:color w:val="17161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16"/>
      <w:contextualSpacing/>
    </w:pPr>
    <w:rPr>
      <w:rFonts w:ascii="Aptos" w:hAnsi="Aptos"/>
      <w:color w:val="17161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