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33EFBF">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问题 2 临床证明，男胎孕妇的 BMI 是影响胎儿 Y 染色体浓度的最早达标时间（即浓度达到或超过 4%的最早时间）的主要因素。试对男胎孕妇的 BMI 进行合理分组，给出每组的 BMI 区间和最佳 NIPT </w:t>
      </w:r>
    </w:p>
    <w:p w14:paraId="76084E19">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时点，使得孕妇可能的潜在风险最小，并分析检测误差对结果的影响。</w:t>
      </w:r>
    </w:p>
    <w:p w14:paraId="3C0478BA">
      <w:pPr>
        <w:rPr>
          <w:rFonts w:hint="eastAsia" w:ascii="黑体" w:hAnsi="黑体" w:eastAsia="黑体" w:cs="黑体"/>
          <w:sz w:val="24"/>
          <w:szCs w:val="24"/>
          <w:lang w:val="en-US" w:eastAsia="zh-CN"/>
        </w:rPr>
      </w:pPr>
    </w:p>
    <w:p w14:paraId="013DD396">
      <w:pPr>
        <w:rPr>
          <w:rFonts w:hint="eastAsia" w:ascii="黑体" w:hAnsi="黑体" w:eastAsia="黑体" w:cs="黑体"/>
          <w:sz w:val="24"/>
          <w:szCs w:val="24"/>
          <w:lang w:val="en-US" w:eastAsia="zh-CN"/>
        </w:rPr>
      </w:pPr>
    </w:p>
    <w:p w14:paraId="37217316">
      <w:pPr>
        <w:rPr>
          <w:rFonts w:hint="eastAsia" w:ascii="宋体" w:hAnsi="宋体" w:cs="宋体"/>
          <w:sz w:val="18"/>
          <w:szCs w:val="18"/>
          <w:lang w:val="en-US" w:eastAsia="zh-CN"/>
        </w:rPr>
      </w:pPr>
      <w:r>
        <w:rPr>
          <w:rFonts w:hint="eastAsia" w:ascii="宋体" w:hAnsi="宋体" w:cs="宋体"/>
          <w:sz w:val="18"/>
          <w:szCs w:val="18"/>
          <w:lang w:val="en-US" w:eastAsia="zh-CN"/>
        </w:rPr>
        <w:t>问题2：</w:t>
      </w:r>
    </w:p>
    <w:p w14:paraId="62851A40">
      <w:pPr>
        <w:ind w:firstLine="361" w:firstLineChars="200"/>
        <w:rPr>
          <w:rFonts w:hint="default" w:ascii="宋体" w:hAnsi="宋体" w:cs="宋体"/>
          <w:b/>
          <w:bCs/>
          <w:sz w:val="18"/>
          <w:szCs w:val="18"/>
          <w:highlight w:val="none"/>
          <w:lang w:val="en-US" w:eastAsia="zh-CN"/>
        </w:rPr>
      </w:pPr>
      <w:r>
        <w:rPr>
          <w:rFonts w:hint="default" w:ascii="宋体" w:hAnsi="宋体" w:cs="宋体"/>
          <w:b/>
          <w:bCs/>
          <w:sz w:val="18"/>
          <w:szCs w:val="18"/>
          <w:highlight w:val="none"/>
          <w:lang w:val="en-US" w:eastAsia="zh-CN"/>
        </w:rPr>
        <w:t>2.1 数据预处理</w:t>
      </w:r>
    </w:p>
    <w:p w14:paraId="20259A2B">
      <w:pPr>
        <w:ind w:firstLine="360" w:firstLineChars="200"/>
        <w:rPr>
          <w:rFonts w:hint="default" w:ascii="宋体" w:hAnsi="宋体" w:cs="宋体"/>
          <w:sz w:val="18"/>
          <w:szCs w:val="18"/>
          <w:highlight w:val="none"/>
          <w:lang w:val="en-US" w:eastAsia="zh-CN"/>
        </w:rPr>
      </w:pPr>
      <w:r>
        <w:rPr>
          <w:rFonts w:hint="default" w:ascii="宋体" w:hAnsi="宋体" w:cs="宋体"/>
          <w:sz w:val="18"/>
          <w:szCs w:val="18"/>
          <w:highlight w:val="none"/>
          <w:lang w:val="en-US" w:eastAsia="zh-CN"/>
        </w:rPr>
        <w:t>本问题旨在探究孕妇BMI对胎儿Y染色体浓度最早达标时间的影响。考虑到同一孕妇的BMI随时间变化幅度较小（个体内变异），且个体间差异远大于时间变化量，为提高分析的准确性和可靠性，我们采用每位孕妇多次BMI测量的平均值作为其代表值进行后续统计分析。</w:t>
      </w:r>
    </w:p>
    <w:p w14:paraId="0E649127">
      <w:pPr>
        <w:ind w:firstLine="360" w:firstLineChars="200"/>
        <w:rPr>
          <w:rFonts w:hint="default" w:ascii="宋体" w:hAnsi="宋体" w:cs="宋体"/>
          <w:sz w:val="18"/>
          <w:szCs w:val="18"/>
          <w:highlight w:val="none"/>
          <w:lang w:val="en-US" w:eastAsia="zh-CN"/>
        </w:rPr>
      </w:pPr>
      <w:r>
        <w:rPr>
          <w:rFonts w:hint="default" w:ascii="宋体" w:hAnsi="宋体" w:cs="宋体"/>
          <w:sz w:val="18"/>
          <w:szCs w:val="18"/>
          <w:highlight w:val="none"/>
          <w:lang w:val="en-US" w:eastAsia="zh-CN"/>
        </w:rPr>
        <w:t>为合理区分样本并便于计算NIPT最佳时点，我们依据Y染色体浓度达标情况对孕妇进行了科学分组：</w:t>
      </w:r>
    </w:p>
    <w:p w14:paraId="5D726AE9">
      <w:pPr>
        <w:ind w:firstLine="360" w:firstLineChars="200"/>
        <w:rPr>
          <w:rFonts w:hint="default" w:ascii="宋体" w:hAnsi="宋体" w:cs="宋体"/>
          <w:sz w:val="18"/>
          <w:szCs w:val="18"/>
          <w:highlight w:val="none"/>
          <w:lang w:val="en-US" w:eastAsia="zh-CN"/>
        </w:rPr>
      </w:pPr>
      <w:r>
        <w:rPr>
          <w:rFonts w:hint="default" w:ascii="宋体" w:hAnsi="宋体" w:cs="宋体"/>
          <w:sz w:val="18"/>
          <w:szCs w:val="18"/>
          <w:highlight w:val="none"/>
          <w:lang w:val="en-US" w:eastAsia="zh-CN"/>
        </w:rPr>
        <w:t>第一组（始终达标组）：从首次检测开始Y染色体浓度即达到或超过4%的样本。该组数据保存在bmi_Y_always_can_test_result.xlsx中，包含孕妇代码、平均BMI和最早达标天数（即首次检测时间）。</w:t>
      </w:r>
    </w:p>
    <w:p w14:paraId="7412F57C">
      <w:pPr>
        <w:ind w:firstLine="360" w:firstLineChars="200"/>
        <w:rPr>
          <w:rFonts w:hint="default" w:ascii="宋体" w:hAnsi="宋体" w:cs="宋体"/>
          <w:sz w:val="18"/>
          <w:szCs w:val="18"/>
          <w:highlight w:val="none"/>
          <w:lang w:val="en-US" w:eastAsia="zh-CN"/>
        </w:rPr>
      </w:pPr>
      <w:r>
        <w:rPr>
          <w:rFonts w:hint="default" w:ascii="宋体" w:hAnsi="宋体" w:cs="宋体"/>
          <w:sz w:val="18"/>
          <w:szCs w:val="18"/>
          <w:highlight w:val="none"/>
          <w:lang w:val="en-US" w:eastAsia="zh-CN"/>
        </w:rPr>
        <w:t>第二组（中间达标组）：初始检测未达标但后续检测达标的样本。该组数据保存在bmi_Y_middle_result.xlsx中，包含孕妇代码、平均BMI和预测达标天数（通过插值法计算获得，详见附录代码Line XX）。</w:t>
      </w:r>
    </w:p>
    <w:p w14:paraId="7DD5BF44">
      <w:pPr>
        <w:ind w:firstLine="360" w:firstLineChars="200"/>
        <w:rPr>
          <w:rFonts w:hint="default" w:ascii="宋体" w:hAnsi="宋体" w:cs="宋体"/>
          <w:sz w:val="18"/>
          <w:szCs w:val="18"/>
          <w:highlight w:val="none"/>
          <w:lang w:val="en-US" w:eastAsia="zh-CN"/>
        </w:rPr>
      </w:pPr>
    </w:p>
    <w:p w14:paraId="28EECB13">
      <w:pPr>
        <w:ind w:firstLine="360" w:firstLineChars="200"/>
        <w:rPr>
          <w:rFonts w:hint="default" w:ascii="宋体" w:hAnsi="宋体" w:cs="宋体"/>
          <w:sz w:val="18"/>
          <w:szCs w:val="18"/>
          <w:highlight w:val="none"/>
          <w:lang w:val="en-US" w:eastAsia="zh-CN"/>
        </w:rPr>
      </w:pPr>
      <w:r>
        <w:rPr>
          <w:rFonts w:hint="default" w:ascii="宋体" w:hAnsi="宋体" w:cs="宋体"/>
          <w:sz w:val="18"/>
          <w:szCs w:val="18"/>
          <w:highlight w:val="none"/>
          <w:lang w:val="en-US" w:eastAsia="zh-CN"/>
        </w:rPr>
        <w:t>第三组（从不达标组）：所有检测中Y染色体浓度均未达标的样本。该组数据保存在bmi_Y_cannot_test_result.xlsx中，包含孕妇代码、平均BMI和最晚达标天数（即末次检测时间）。</w:t>
      </w:r>
    </w:p>
    <w:p w14:paraId="51022806">
      <w:pPr>
        <w:ind w:firstLine="360" w:firstLineChars="200"/>
        <w:rPr>
          <w:rFonts w:hint="default" w:ascii="宋体" w:hAnsi="宋体" w:cs="宋体"/>
          <w:sz w:val="18"/>
          <w:szCs w:val="18"/>
          <w:highlight w:val="none"/>
          <w:lang w:val="en-US" w:eastAsia="zh-CN"/>
        </w:rPr>
      </w:pPr>
    </w:p>
    <w:p w14:paraId="117C1D27">
      <w:pPr>
        <w:ind w:firstLine="360" w:firstLineChars="200"/>
        <w:rPr>
          <w:rFonts w:hint="default" w:ascii="宋体" w:hAnsi="宋体" w:cs="宋体"/>
          <w:sz w:val="18"/>
          <w:szCs w:val="18"/>
          <w:highlight w:val="none"/>
          <w:lang w:val="en-US" w:eastAsia="zh-CN"/>
        </w:rPr>
      </w:pPr>
      <w:r>
        <w:rPr>
          <w:rFonts w:hint="default" w:ascii="宋体" w:hAnsi="宋体" w:cs="宋体"/>
          <w:sz w:val="18"/>
          <w:szCs w:val="18"/>
          <w:highlight w:val="none"/>
          <w:lang w:val="en-US" w:eastAsia="zh-CN"/>
        </w:rPr>
        <w:t>为确保数据质量，若某样本曾达标但后续检测又低于4%，则视为无效样本并予以剔除。经上述处理，最终获得有效样本总量为230例。其中，第一组186例（占比80.87%），第二组37例（占比16.09%），第三组7例（占比3.04%）。这一分组策略确保了后续分析的可靠性和代表性。</w:t>
      </w:r>
    </w:p>
    <w:p w14:paraId="2E8DD965">
      <w:pPr>
        <w:ind w:firstLine="360" w:firstLineChars="200"/>
        <w:jc w:val="both"/>
        <w:rPr>
          <w:rFonts w:hint="default" w:ascii="宋体" w:hAnsi="宋体" w:cs="宋体"/>
          <w:sz w:val="18"/>
          <w:szCs w:val="18"/>
          <w:highlight w:val="none"/>
          <w:lang w:val="en-US" w:eastAsia="zh-CN"/>
        </w:rPr>
      </w:pPr>
      <w:r>
        <w:rPr>
          <w:rFonts w:hint="eastAsia" w:ascii="宋体" w:hAnsi="宋体" w:cs="宋体"/>
          <w:sz w:val="18"/>
          <w:szCs w:val="18"/>
          <w:highlight w:val="none"/>
          <w:lang w:val="en-US" w:eastAsia="zh-CN"/>
        </w:rPr>
        <w:t>分类过后总样本量为230人，第一组样本量为186人（占总比80.87%），第二组样本量为37人（占总比16.09%），第三组样本量为7人（占总比3.04%）。、bmi_Y_middle_result.xlsx和bmi_Y_cannot_test_result.xlsx文件中。</w:t>
      </w:r>
    </w:p>
    <w:p w14:paraId="54DAB208">
      <w:pPr>
        <w:rPr>
          <w:rFonts w:hint="default" w:ascii="宋体" w:hAnsi="宋体" w:cs="宋体"/>
          <w:sz w:val="18"/>
          <w:szCs w:val="18"/>
          <w:highlight w:val="yellow"/>
          <w:lang w:val="en-US" w:eastAsia="zh-CN"/>
        </w:rPr>
      </w:pPr>
    </w:p>
    <w:p w14:paraId="6FCAFF7B">
      <w:pPr>
        <w:ind w:firstLine="360" w:firstLineChars="200"/>
        <w:rPr>
          <w:rFonts w:hint="eastAsia" w:ascii="宋体" w:hAnsi="宋体" w:cs="宋体"/>
          <w:sz w:val="18"/>
          <w:szCs w:val="18"/>
          <w:highlight w:val="yellow"/>
          <w:lang w:val="en-US" w:eastAsia="zh-CN"/>
        </w:rPr>
      </w:pPr>
    </w:p>
    <w:p w14:paraId="615DE2B1">
      <w:pPr>
        <w:ind w:firstLine="360" w:firstLineChars="200"/>
        <w:rPr>
          <w:rFonts w:hint="eastAsia" w:ascii="宋体" w:hAnsi="宋体" w:cs="宋体"/>
          <w:color w:val="808080" w:themeColor="text1" w:themeTint="80"/>
          <w:sz w:val="18"/>
          <w:szCs w:val="18"/>
          <w:highlight w:val="none"/>
          <w:lang w:val="en-US" w:eastAsia="zh-CN"/>
          <w14:textFill>
            <w14:solidFill>
              <w14:schemeClr w14:val="tx1">
                <w14:lumMod w14:val="50000"/>
                <w14:lumOff w14:val="50000"/>
              </w14:schemeClr>
            </w14:solidFill>
          </w14:textFill>
        </w:rPr>
      </w:pPr>
      <w:r>
        <w:rPr>
          <w:rFonts w:hint="eastAsia" w:ascii="宋体" w:hAnsi="宋体" w:cs="宋体"/>
          <w:color w:val="808080" w:themeColor="text1" w:themeTint="80"/>
          <w:sz w:val="18"/>
          <w:szCs w:val="18"/>
          <w:highlight w:val="none"/>
          <w:lang w:val="en-US" w:eastAsia="zh-CN"/>
          <w14:textFill>
            <w14:solidFill>
              <w14:schemeClr w14:val="tx1">
                <w14:lumMod w14:val="50000"/>
                <w14:lumOff w14:val="50000"/>
              </w14:schemeClr>
            </w14:solidFill>
          </w14:textFill>
        </w:rPr>
        <w:t>为了提炼三种情况(always_can_test；middle；cannot_test)孕妇的BMI特点，我们分别对三组所有样本的BMI和达标天数求了平均值，结果如下：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14:paraId="4920A1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14:paraId="08E6C383">
            <w:pPr>
              <w:rPr>
                <w:rFonts w:hint="default" w:ascii="宋体" w:hAnsi="宋体" w:cs="宋体"/>
                <w:color w:val="808080" w:themeColor="text1" w:themeTint="80"/>
                <w:sz w:val="18"/>
                <w:szCs w:val="18"/>
                <w:highlight w:val="none"/>
                <w:vertAlign w:val="baseline"/>
                <w:lang w:val="en-US" w:eastAsia="zh-CN"/>
                <w14:textFill>
                  <w14:solidFill>
                    <w14:schemeClr w14:val="tx1">
                      <w14:lumMod w14:val="50000"/>
                      <w14:lumOff w14:val="50000"/>
                    </w14:schemeClr>
                  </w14:solidFill>
                </w14:textFill>
              </w:rPr>
            </w:pPr>
          </w:p>
        </w:tc>
        <w:tc>
          <w:tcPr>
            <w:tcW w:w="2841" w:type="dxa"/>
          </w:tcPr>
          <w:p w14:paraId="2B6CFA02">
            <w:pPr>
              <w:rPr>
                <w:rFonts w:hint="default" w:ascii="宋体" w:hAnsi="宋体" w:cs="宋体"/>
                <w:color w:val="808080" w:themeColor="text1" w:themeTint="80"/>
                <w:sz w:val="18"/>
                <w:szCs w:val="18"/>
                <w:highlight w:val="none"/>
                <w:vertAlign w:val="baseline"/>
                <w:lang w:val="en-US" w:eastAsia="zh-CN"/>
                <w14:textFill>
                  <w14:solidFill>
                    <w14:schemeClr w14:val="tx1">
                      <w14:lumMod w14:val="50000"/>
                      <w14:lumOff w14:val="50000"/>
                    </w14:schemeClr>
                  </w14:solidFill>
                </w14:textFill>
              </w:rPr>
            </w:pPr>
            <w:r>
              <w:rPr>
                <w:rFonts w:hint="default" w:ascii="宋体" w:hAnsi="宋体" w:cs="宋体"/>
                <w:color w:val="808080" w:themeColor="text1" w:themeTint="80"/>
                <w:sz w:val="18"/>
                <w:szCs w:val="18"/>
                <w:highlight w:val="none"/>
                <w:vertAlign w:val="baseline"/>
                <w:lang w:val="en-US" w:eastAsia="zh-CN"/>
                <w14:textFill>
                  <w14:solidFill>
                    <w14:schemeClr w14:val="tx1">
                      <w14:lumMod w14:val="50000"/>
                      <w14:lumOff w14:val="50000"/>
                    </w14:schemeClr>
                  </w14:solidFill>
                </w14:textFill>
              </w:rPr>
              <w:t>BMI</w:t>
            </w:r>
          </w:p>
        </w:tc>
        <w:tc>
          <w:tcPr>
            <w:tcW w:w="2841" w:type="dxa"/>
          </w:tcPr>
          <w:p w14:paraId="09518807">
            <w:pPr>
              <w:rPr>
                <w:rFonts w:hint="default" w:ascii="宋体" w:hAnsi="宋体" w:cs="宋体"/>
                <w:color w:val="808080" w:themeColor="text1" w:themeTint="80"/>
                <w:sz w:val="18"/>
                <w:szCs w:val="18"/>
                <w:highlight w:val="none"/>
                <w:vertAlign w:val="baseline"/>
                <w:lang w:val="en-US" w:eastAsia="zh-CN"/>
                <w14:textFill>
                  <w14:solidFill>
                    <w14:schemeClr w14:val="tx1">
                      <w14:lumMod w14:val="50000"/>
                      <w14:lumOff w14:val="50000"/>
                    </w14:schemeClr>
                  </w14:solidFill>
                </w14:textFill>
              </w:rPr>
            </w:pPr>
            <w:r>
              <w:rPr>
                <w:rFonts w:hint="eastAsia" w:ascii="宋体" w:hAnsi="宋体" w:cs="宋体"/>
                <w:color w:val="808080" w:themeColor="text1" w:themeTint="80"/>
                <w:sz w:val="18"/>
                <w:szCs w:val="18"/>
                <w:highlight w:val="none"/>
                <w:vertAlign w:val="baseline"/>
                <w:lang w:val="en-US" w:eastAsia="zh-CN"/>
                <w14:textFill>
                  <w14:solidFill>
                    <w14:schemeClr w14:val="tx1">
                      <w14:lumMod w14:val="50000"/>
                      <w14:lumOff w14:val="50000"/>
                    </w14:schemeClr>
                  </w14:solidFill>
                </w14:textFill>
              </w:rPr>
              <w:t>对应</w:t>
            </w:r>
            <w:r>
              <w:rPr>
                <w:rFonts w:hint="default" w:ascii="宋体" w:hAnsi="宋体" w:cs="宋体"/>
                <w:color w:val="808080" w:themeColor="text1" w:themeTint="80"/>
                <w:sz w:val="18"/>
                <w:szCs w:val="18"/>
                <w:highlight w:val="none"/>
                <w:vertAlign w:val="baseline"/>
                <w:lang w:val="en-US" w:eastAsia="zh-CN"/>
                <w14:textFill>
                  <w14:solidFill>
                    <w14:schemeClr w14:val="tx1">
                      <w14:lumMod w14:val="50000"/>
                      <w14:lumOff w14:val="50000"/>
                    </w14:schemeClr>
                  </w14:solidFill>
                </w14:textFill>
              </w:rPr>
              <w:t>天数</w:t>
            </w:r>
          </w:p>
        </w:tc>
      </w:tr>
      <w:tr w14:paraId="120A2A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1E9267F8">
            <w:pPr>
              <w:rPr>
                <w:rFonts w:hint="default" w:ascii="宋体" w:hAnsi="宋体" w:cs="宋体"/>
                <w:color w:val="808080" w:themeColor="text1" w:themeTint="80"/>
                <w:sz w:val="18"/>
                <w:szCs w:val="18"/>
                <w:highlight w:val="none"/>
                <w:vertAlign w:val="baseline"/>
                <w:lang w:val="en-US" w:eastAsia="zh-CN"/>
                <w14:textFill>
                  <w14:solidFill>
                    <w14:schemeClr w14:val="tx1">
                      <w14:lumMod w14:val="50000"/>
                      <w14:lumOff w14:val="50000"/>
                    </w14:schemeClr>
                  </w14:solidFill>
                </w14:textFill>
              </w:rPr>
            </w:pPr>
            <w:r>
              <w:rPr>
                <w:rFonts w:hint="default" w:ascii="宋体" w:hAnsi="宋体" w:cs="宋体"/>
                <w:color w:val="808080" w:themeColor="text1" w:themeTint="80"/>
                <w:sz w:val="18"/>
                <w:szCs w:val="18"/>
                <w:highlight w:val="none"/>
                <w:vertAlign w:val="baseline"/>
                <w:lang w:val="en-US" w:eastAsia="zh-CN"/>
                <w14:textFill>
                  <w14:solidFill>
                    <w14:schemeClr w14:val="tx1">
                      <w14:lumMod w14:val="50000"/>
                      <w14:lumOff w14:val="50000"/>
                    </w14:schemeClr>
                  </w14:solidFill>
                </w14:textFill>
              </w:rPr>
              <w:t>always_can_test</w:t>
            </w:r>
          </w:p>
        </w:tc>
        <w:tc>
          <w:tcPr>
            <w:tcW w:w="2841" w:type="dxa"/>
            <w:shd w:val="clear"/>
            <w:vAlign w:val="bottom"/>
          </w:tcPr>
          <w:p w14:paraId="1C4B7E6A">
            <w:pPr>
              <w:keepNext w:val="0"/>
              <w:keepLines w:val="0"/>
              <w:widowControl/>
              <w:suppressLineNumbers w:val="0"/>
              <w:jc w:val="right"/>
              <w:textAlignment w:val="bottom"/>
              <w:rPr>
                <w:rFonts w:hint="default" w:ascii="宋体" w:hAnsi="宋体" w:eastAsia="宋体" w:cs="宋体"/>
                <w:i w:val="0"/>
                <w:iCs w:val="0"/>
                <w:color w:val="808080" w:themeColor="text1" w:themeTint="80"/>
                <w:kern w:val="2"/>
                <w:sz w:val="18"/>
                <w:szCs w:val="18"/>
                <w:highlight w:val="none"/>
                <w:u w:val="none"/>
                <w:lang w:val="en-US" w:eastAsia="zh-CN" w:bidi="ar-SA"/>
                <w14:textFill>
                  <w14:solidFill>
                    <w14:schemeClr w14:val="tx1">
                      <w14:lumMod w14:val="50000"/>
                      <w14:lumOff w14:val="50000"/>
                    </w14:schemeClr>
                  </w14:solidFill>
                </w14:textFill>
              </w:rPr>
            </w:pPr>
            <w:r>
              <w:rPr>
                <w:rFonts w:hint="eastAsia" w:ascii="宋体" w:hAnsi="宋体" w:eastAsia="宋体" w:cs="宋体"/>
                <w:i w:val="0"/>
                <w:iCs w:val="0"/>
                <w:color w:val="808080" w:themeColor="text1" w:themeTint="80"/>
                <w:kern w:val="0"/>
                <w:sz w:val="18"/>
                <w:szCs w:val="18"/>
                <w:highlight w:val="none"/>
                <w:u w:val="none"/>
                <w:lang w:val="en-US" w:eastAsia="zh-CN" w:bidi="ar"/>
                <w14:textFill>
                  <w14:solidFill>
                    <w14:schemeClr w14:val="tx1">
                      <w14:lumMod w14:val="50000"/>
                      <w14:lumOff w14:val="50000"/>
                    </w14:schemeClr>
                  </w14:solidFill>
                </w14:textFill>
              </w:rPr>
              <w:t>31.96548919</w:t>
            </w:r>
          </w:p>
        </w:tc>
        <w:tc>
          <w:tcPr>
            <w:tcW w:w="2841" w:type="dxa"/>
            <w:shd w:val="clear"/>
            <w:vAlign w:val="bottom"/>
          </w:tcPr>
          <w:p w14:paraId="4597D15D">
            <w:pPr>
              <w:keepNext w:val="0"/>
              <w:keepLines w:val="0"/>
              <w:widowControl/>
              <w:suppressLineNumbers w:val="0"/>
              <w:jc w:val="right"/>
              <w:textAlignment w:val="bottom"/>
              <w:rPr>
                <w:rFonts w:hint="default" w:ascii="宋体" w:hAnsi="宋体" w:eastAsia="宋体" w:cs="宋体"/>
                <w:i w:val="0"/>
                <w:iCs w:val="0"/>
                <w:color w:val="808080" w:themeColor="text1" w:themeTint="80"/>
                <w:kern w:val="2"/>
                <w:sz w:val="18"/>
                <w:szCs w:val="18"/>
                <w:highlight w:val="none"/>
                <w:u w:val="none"/>
                <w:lang w:val="en-US" w:eastAsia="zh-CN" w:bidi="ar-SA"/>
                <w14:textFill>
                  <w14:solidFill>
                    <w14:schemeClr w14:val="tx1">
                      <w14:lumMod w14:val="50000"/>
                      <w14:lumOff w14:val="50000"/>
                    </w14:schemeClr>
                  </w14:solidFill>
                </w14:textFill>
              </w:rPr>
            </w:pPr>
            <w:r>
              <w:rPr>
                <w:rFonts w:hint="eastAsia" w:ascii="宋体" w:hAnsi="宋体" w:eastAsia="宋体" w:cs="宋体"/>
                <w:i w:val="0"/>
                <w:iCs w:val="0"/>
                <w:color w:val="808080" w:themeColor="text1" w:themeTint="80"/>
                <w:kern w:val="0"/>
                <w:sz w:val="18"/>
                <w:szCs w:val="18"/>
                <w:highlight w:val="none"/>
                <w:u w:val="none"/>
                <w:lang w:val="en-US" w:eastAsia="zh-CN" w:bidi="ar"/>
                <w14:textFill>
                  <w14:solidFill>
                    <w14:schemeClr w14:val="tx1">
                      <w14:lumMod w14:val="50000"/>
                      <w14:lumOff w14:val="50000"/>
                    </w14:schemeClr>
                  </w14:solidFill>
                </w14:textFill>
              </w:rPr>
              <w:t>88.51075269</w:t>
            </w:r>
          </w:p>
        </w:tc>
      </w:tr>
      <w:tr w14:paraId="1DDD04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2106FEB8">
            <w:pPr>
              <w:rPr>
                <w:rFonts w:hint="default" w:ascii="宋体" w:hAnsi="宋体" w:cs="宋体"/>
                <w:color w:val="808080" w:themeColor="text1" w:themeTint="80"/>
                <w:sz w:val="18"/>
                <w:szCs w:val="18"/>
                <w:highlight w:val="none"/>
                <w:vertAlign w:val="baseline"/>
                <w:lang w:val="en-US" w:eastAsia="zh-CN"/>
                <w14:textFill>
                  <w14:solidFill>
                    <w14:schemeClr w14:val="tx1">
                      <w14:lumMod w14:val="50000"/>
                      <w14:lumOff w14:val="50000"/>
                    </w14:schemeClr>
                  </w14:solidFill>
                </w14:textFill>
              </w:rPr>
            </w:pPr>
            <w:r>
              <w:rPr>
                <w:rFonts w:hint="default" w:ascii="宋体" w:hAnsi="宋体" w:cs="宋体"/>
                <w:color w:val="808080" w:themeColor="text1" w:themeTint="80"/>
                <w:sz w:val="18"/>
                <w:szCs w:val="18"/>
                <w:highlight w:val="none"/>
                <w:vertAlign w:val="baseline"/>
                <w:lang w:val="en-US" w:eastAsia="zh-CN"/>
                <w14:textFill>
                  <w14:solidFill>
                    <w14:schemeClr w14:val="tx1">
                      <w14:lumMod w14:val="50000"/>
                      <w14:lumOff w14:val="50000"/>
                    </w14:schemeClr>
                  </w14:solidFill>
                </w14:textFill>
              </w:rPr>
              <w:t>middle</w:t>
            </w:r>
          </w:p>
        </w:tc>
        <w:tc>
          <w:tcPr>
            <w:tcW w:w="2841" w:type="dxa"/>
            <w:shd w:val="clear"/>
            <w:vAlign w:val="bottom"/>
          </w:tcPr>
          <w:p w14:paraId="5D019D7F">
            <w:pPr>
              <w:keepNext w:val="0"/>
              <w:keepLines w:val="0"/>
              <w:widowControl/>
              <w:suppressLineNumbers w:val="0"/>
              <w:jc w:val="right"/>
              <w:textAlignment w:val="bottom"/>
              <w:rPr>
                <w:rFonts w:hint="default" w:ascii="宋体" w:hAnsi="宋体" w:eastAsia="宋体" w:cs="宋体"/>
                <w:i w:val="0"/>
                <w:iCs w:val="0"/>
                <w:color w:val="808080" w:themeColor="text1" w:themeTint="80"/>
                <w:kern w:val="2"/>
                <w:sz w:val="18"/>
                <w:szCs w:val="18"/>
                <w:highlight w:val="none"/>
                <w:u w:val="none"/>
                <w:lang w:val="en-US" w:eastAsia="zh-CN" w:bidi="ar-SA"/>
                <w14:textFill>
                  <w14:solidFill>
                    <w14:schemeClr w14:val="tx1">
                      <w14:lumMod w14:val="50000"/>
                      <w14:lumOff w14:val="50000"/>
                    </w14:schemeClr>
                  </w14:solidFill>
                </w14:textFill>
              </w:rPr>
            </w:pPr>
            <w:r>
              <w:rPr>
                <w:rFonts w:hint="eastAsia" w:ascii="宋体" w:hAnsi="宋体" w:eastAsia="宋体" w:cs="宋体"/>
                <w:i w:val="0"/>
                <w:iCs w:val="0"/>
                <w:color w:val="808080" w:themeColor="text1" w:themeTint="80"/>
                <w:kern w:val="0"/>
                <w:sz w:val="18"/>
                <w:szCs w:val="18"/>
                <w:highlight w:val="none"/>
                <w:u w:val="none"/>
                <w:lang w:val="en-US" w:eastAsia="zh-CN" w:bidi="ar"/>
                <w14:textFill>
                  <w14:solidFill>
                    <w14:schemeClr w14:val="tx1">
                      <w14:lumMod w14:val="50000"/>
                      <w14:lumOff w14:val="50000"/>
                    </w14:schemeClr>
                  </w14:solidFill>
                </w14:textFill>
              </w:rPr>
              <w:t>33.37592436</w:t>
            </w:r>
          </w:p>
        </w:tc>
        <w:tc>
          <w:tcPr>
            <w:tcW w:w="2841" w:type="dxa"/>
            <w:shd w:val="clear"/>
            <w:vAlign w:val="bottom"/>
          </w:tcPr>
          <w:p w14:paraId="045F55D6">
            <w:pPr>
              <w:keepNext w:val="0"/>
              <w:keepLines w:val="0"/>
              <w:widowControl/>
              <w:suppressLineNumbers w:val="0"/>
              <w:jc w:val="right"/>
              <w:textAlignment w:val="bottom"/>
              <w:rPr>
                <w:rFonts w:hint="default" w:ascii="宋体" w:hAnsi="宋体" w:eastAsia="宋体" w:cs="宋体"/>
                <w:i w:val="0"/>
                <w:iCs w:val="0"/>
                <w:color w:val="808080" w:themeColor="text1" w:themeTint="80"/>
                <w:kern w:val="2"/>
                <w:sz w:val="18"/>
                <w:szCs w:val="18"/>
                <w:highlight w:val="none"/>
                <w:u w:val="none"/>
                <w:lang w:val="en-US" w:eastAsia="zh-CN" w:bidi="ar-SA"/>
                <w14:textFill>
                  <w14:solidFill>
                    <w14:schemeClr w14:val="tx1">
                      <w14:lumMod w14:val="50000"/>
                      <w14:lumOff w14:val="50000"/>
                    </w14:schemeClr>
                  </w14:solidFill>
                </w14:textFill>
              </w:rPr>
            </w:pPr>
            <w:r>
              <w:rPr>
                <w:rFonts w:hint="eastAsia" w:ascii="宋体" w:hAnsi="宋体" w:eastAsia="宋体" w:cs="宋体"/>
                <w:i w:val="0"/>
                <w:iCs w:val="0"/>
                <w:color w:val="808080" w:themeColor="text1" w:themeTint="80"/>
                <w:kern w:val="0"/>
                <w:sz w:val="18"/>
                <w:szCs w:val="18"/>
                <w:highlight w:val="none"/>
                <w:u w:val="none"/>
                <w:lang w:val="en-US" w:eastAsia="zh-CN" w:bidi="ar"/>
                <w14:textFill>
                  <w14:solidFill>
                    <w14:schemeClr w14:val="tx1">
                      <w14:lumMod w14:val="50000"/>
                      <w14:lumOff w14:val="50000"/>
                    </w14:schemeClr>
                  </w14:solidFill>
                </w14:textFill>
              </w:rPr>
              <w:t>112.1758142</w:t>
            </w:r>
          </w:p>
        </w:tc>
      </w:tr>
      <w:tr w14:paraId="25FCE3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5077D06A">
            <w:pPr>
              <w:rPr>
                <w:rFonts w:hint="default" w:ascii="宋体" w:hAnsi="宋体" w:cs="宋体"/>
                <w:color w:val="808080" w:themeColor="text1" w:themeTint="80"/>
                <w:sz w:val="18"/>
                <w:szCs w:val="18"/>
                <w:highlight w:val="none"/>
                <w:vertAlign w:val="baseline"/>
                <w:lang w:val="en-US" w:eastAsia="zh-CN"/>
                <w14:textFill>
                  <w14:solidFill>
                    <w14:schemeClr w14:val="tx1">
                      <w14:lumMod w14:val="50000"/>
                      <w14:lumOff w14:val="50000"/>
                    </w14:schemeClr>
                  </w14:solidFill>
                </w14:textFill>
              </w:rPr>
            </w:pPr>
            <w:r>
              <w:rPr>
                <w:rFonts w:hint="default" w:ascii="宋体" w:hAnsi="宋体" w:cs="宋体"/>
                <w:color w:val="808080" w:themeColor="text1" w:themeTint="80"/>
                <w:sz w:val="18"/>
                <w:szCs w:val="18"/>
                <w:highlight w:val="none"/>
                <w:vertAlign w:val="baseline"/>
                <w:lang w:val="en-US" w:eastAsia="zh-CN"/>
                <w14:textFill>
                  <w14:solidFill>
                    <w14:schemeClr w14:val="tx1">
                      <w14:lumMod w14:val="50000"/>
                      <w14:lumOff w14:val="50000"/>
                    </w14:schemeClr>
                  </w14:solidFill>
                </w14:textFill>
              </w:rPr>
              <w:t>cannot_test</w:t>
            </w:r>
          </w:p>
        </w:tc>
        <w:tc>
          <w:tcPr>
            <w:tcW w:w="2841" w:type="dxa"/>
            <w:shd w:val="clear"/>
            <w:vAlign w:val="bottom"/>
          </w:tcPr>
          <w:p w14:paraId="37C1B077">
            <w:pPr>
              <w:keepNext w:val="0"/>
              <w:keepLines w:val="0"/>
              <w:widowControl/>
              <w:suppressLineNumbers w:val="0"/>
              <w:jc w:val="right"/>
              <w:textAlignment w:val="bottom"/>
              <w:rPr>
                <w:rFonts w:hint="default" w:ascii="宋体" w:hAnsi="宋体" w:eastAsia="宋体" w:cs="宋体"/>
                <w:i w:val="0"/>
                <w:iCs w:val="0"/>
                <w:color w:val="808080" w:themeColor="text1" w:themeTint="80"/>
                <w:kern w:val="2"/>
                <w:sz w:val="18"/>
                <w:szCs w:val="18"/>
                <w:highlight w:val="none"/>
                <w:u w:val="none"/>
                <w:lang w:val="en-US" w:eastAsia="zh-CN" w:bidi="ar-SA"/>
                <w14:textFill>
                  <w14:solidFill>
                    <w14:schemeClr w14:val="tx1">
                      <w14:lumMod w14:val="50000"/>
                      <w14:lumOff w14:val="50000"/>
                    </w14:schemeClr>
                  </w14:solidFill>
                </w14:textFill>
              </w:rPr>
            </w:pPr>
            <w:r>
              <w:rPr>
                <w:rFonts w:hint="eastAsia" w:ascii="宋体" w:hAnsi="宋体" w:eastAsia="宋体" w:cs="宋体"/>
                <w:i w:val="0"/>
                <w:iCs w:val="0"/>
                <w:color w:val="808080" w:themeColor="text1" w:themeTint="80"/>
                <w:kern w:val="0"/>
                <w:sz w:val="18"/>
                <w:szCs w:val="18"/>
                <w:highlight w:val="none"/>
                <w:u w:val="none"/>
                <w:lang w:val="en-US" w:eastAsia="zh-CN" w:bidi="ar"/>
                <w14:textFill>
                  <w14:solidFill>
                    <w14:schemeClr w14:val="tx1">
                      <w14:lumMod w14:val="50000"/>
                      <w14:lumOff w14:val="50000"/>
                    </w14:schemeClr>
                  </w14:solidFill>
                </w14:textFill>
              </w:rPr>
              <w:t>35.21942627</w:t>
            </w:r>
          </w:p>
        </w:tc>
        <w:tc>
          <w:tcPr>
            <w:tcW w:w="2841" w:type="dxa"/>
            <w:shd w:val="clear"/>
            <w:vAlign w:val="bottom"/>
          </w:tcPr>
          <w:p w14:paraId="0210A054">
            <w:pPr>
              <w:keepNext w:val="0"/>
              <w:keepLines w:val="0"/>
              <w:widowControl/>
              <w:suppressLineNumbers w:val="0"/>
              <w:jc w:val="right"/>
              <w:textAlignment w:val="bottom"/>
              <w:rPr>
                <w:rFonts w:hint="default" w:ascii="宋体" w:hAnsi="宋体" w:eastAsia="宋体" w:cs="宋体"/>
                <w:i w:val="0"/>
                <w:iCs w:val="0"/>
                <w:color w:val="808080" w:themeColor="text1" w:themeTint="80"/>
                <w:kern w:val="2"/>
                <w:sz w:val="18"/>
                <w:szCs w:val="18"/>
                <w:highlight w:val="none"/>
                <w:u w:val="none"/>
                <w:lang w:val="en-US" w:eastAsia="zh-CN" w:bidi="ar-SA"/>
                <w14:textFill>
                  <w14:solidFill>
                    <w14:schemeClr w14:val="tx1">
                      <w14:lumMod w14:val="50000"/>
                      <w14:lumOff w14:val="50000"/>
                    </w14:schemeClr>
                  </w14:solidFill>
                </w14:textFill>
              </w:rPr>
            </w:pPr>
            <w:r>
              <w:rPr>
                <w:rFonts w:hint="eastAsia" w:ascii="宋体" w:hAnsi="宋体" w:eastAsia="宋体" w:cs="宋体"/>
                <w:i w:val="0"/>
                <w:iCs w:val="0"/>
                <w:color w:val="808080" w:themeColor="text1" w:themeTint="80"/>
                <w:kern w:val="0"/>
                <w:sz w:val="18"/>
                <w:szCs w:val="18"/>
                <w:highlight w:val="none"/>
                <w:u w:val="none"/>
                <w:lang w:val="en-US" w:eastAsia="zh-CN" w:bidi="ar"/>
                <w14:textFill>
                  <w14:solidFill>
                    <w14:schemeClr w14:val="tx1">
                      <w14:lumMod w14:val="50000"/>
                      <w14:lumOff w14:val="50000"/>
                    </w14:schemeClr>
                  </w14:solidFill>
                </w14:textFill>
              </w:rPr>
              <w:t>139.7142857</w:t>
            </w:r>
          </w:p>
        </w:tc>
      </w:tr>
    </w:tbl>
    <w:p w14:paraId="28D585E3">
      <w:pPr>
        <w:ind w:firstLine="360" w:firstLineChars="200"/>
        <w:rPr>
          <w:rFonts w:hint="default" w:ascii="宋体" w:hAnsi="宋体" w:cs="宋体"/>
          <w:color w:val="808080" w:themeColor="text1" w:themeTint="80"/>
          <w:sz w:val="18"/>
          <w:szCs w:val="18"/>
          <w:highlight w:val="none"/>
          <w:lang w:val="en-US" w:eastAsia="zh-CN"/>
          <w14:textFill>
            <w14:solidFill>
              <w14:schemeClr w14:val="tx1">
                <w14:lumMod w14:val="50000"/>
                <w14:lumOff w14:val="50000"/>
              </w14:schemeClr>
            </w14:solidFill>
          </w14:textFill>
        </w:rPr>
      </w:pPr>
      <w:r>
        <w:rPr>
          <w:rFonts w:hint="eastAsia" w:ascii="宋体" w:hAnsi="宋体" w:cs="宋体"/>
          <w:color w:val="808080" w:themeColor="text1" w:themeTint="80"/>
          <w:sz w:val="18"/>
          <w:szCs w:val="18"/>
          <w:highlight w:val="none"/>
          <w:lang w:val="en-US" w:eastAsia="zh-CN"/>
          <w14:textFill>
            <w14:solidFill>
              <w14:schemeClr w14:val="tx1">
                <w14:lumMod w14:val="50000"/>
                <w14:lumOff w14:val="50000"/>
              </w14:schemeClr>
            </w14:solidFill>
          </w14:textFill>
        </w:rPr>
        <w:t xml:space="preserve">从统计数据不难看出：BMI小的个体Y染色体达标的时间有更早的趋势 </w:t>
      </w:r>
    </w:p>
    <w:p w14:paraId="03361BBF">
      <w:pPr>
        <w:rPr>
          <w:rFonts w:hint="default" w:ascii="宋体" w:hAnsi="宋体" w:cs="宋体"/>
          <w:sz w:val="18"/>
          <w:szCs w:val="18"/>
          <w:lang w:val="en-US" w:eastAsia="zh-CN"/>
        </w:rPr>
      </w:pPr>
      <w:r>
        <w:rPr>
          <w:rFonts w:hint="eastAsia" w:ascii="宋体" w:hAnsi="宋体" w:cs="宋体"/>
          <w:sz w:val="18"/>
          <w:szCs w:val="18"/>
          <w:lang w:val="en-US" w:eastAsia="zh-CN"/>
        </w:rPr>
        <w:t>以上可以省略</w:t>
      </w:r>
    </w:p>
    <w:p w14:paraId="67DF8CB9">
      <w:pPr>
        <w:rPr>
          <w:rFonts w:hint="eastAsia" w:ascii="宋体" w:hAnsi="宋体" w:cs="宋体"/>
          <w:sz w:val="18"/>
          <w:szCs w:val="18"/>
          <w:lang w:val="en-US" w:eastAsia="zh-CN"/>
        </w:rPr>
      </w:pPr>
    </w:p>
    <w:p w14:paraId="03A030D8">
      <w:pPr>
        <w:numPr>
          <w:ilvl w:val="0"/>
          <w:numId w:val="1"/>
        </w:numPr>
        <w:ind w:left="280" w:leftChars="0" w:firstLine="0" w:firstLineChars="0"/>
        <w:rPr>
          <w:rFonts w:hint="default" w:ascii="宋体" w:hAnsi="宋体" w:cs="宋体"/>
          <w:b/>
          <w:bCs/>
          <w:sz w:val="18"/>
          <w:szCs w:val="18"/>
          <w:lang w:val="en-US" w:eastAsia="zh-CN"/>
        </w:rPr>
      </w:pPr>
      <w:r>
        <w:rPr>
          <w:rFonts w:hint="eastAsia" w:ascii="宋体" w:hAnsi="宋体" w:cs="宋体"/>
          <w:b/>
          <w:bCs/>
          <w:sz w:val="18"/>
          <w:szCs w:val="18"/>
          <w:lang w:val="en-US" w:eastAsia="zh-CN"/>
        </w:rPr>
        <w:t>BMI划分</w:t>
      </w:r>
    </w:p>
    <w:p w14:paraId="2333F7A4">
      <w:pPr>
        <w:ind w:firstLine="360" w:firstLineChars="200"/>
        <w:rPr>
          <w:rFonts w:hint="eastAsia" w:ascii="宋体" w:hAnsi="宋体" w:cs="宋体"/>
          <w:sz w:val="18"/>
          <w:szCs w:val="18"/>
          <w:lang w:val="en-US" w:eastAsia="zh-CN"/>
        </w:rPr>
      </w:pPr>
      <w:r>
        <w:rPr>
          <w:rFonts w:hint="eastAsia" w:ascii="宋体" w:hAnsi="宋体" w:cs="宋体"/>
          <w:sz w:val="18"/>
          <w:szCs w:val="18"/>
          <w:lang w:val="en-US" w:eastAsia="zh-CN"/>
        </w:rPr>
        <w:t>我们使用聚类算法来对BMI进行细分：</w:t>
      </w:r>
    </w:p>
    <w:p w14:paraId="2AA46A1E">
      <w:pPr>
        <w:ind w:firstLine="360" w:firstLineChars="200"/>
        <w:rPr>
          <w:rFonts w:hint="default" w:ascii="宋体" w:hAnsi="宋体" w:cs="宋体"/>
          <w:sz w:val="18"/>
          <w:szCs w:val="18"/>
          <w:lang w:val="en-US" w:eastAsia="zh-CN"/>
        </w:rPr>
      </w:pPr>
      <w:r>
        <w:rPr>
          <w:rFonts w:hint="eastAsia" w:ascii="宋体" w:hAnsi="宋体" w:cs="宋体"/>
          <w:sz w:val="18"/>
          <w:szCs w:val="18"/>
          <w:lang w:val="en-US" w:eastAsia="zh-CN"/>
        </w:rPr>
        <w:t>我们先用肘部法则来确定合适的划分数量，结果如下图：</w:t>
      </w:r>
    </w:p>
    <w:p w14:paraId="1DA0816A">
      <w:pPr>
        <w:ind w:firstLine="360" w:firstLineChars="200"/>
        <w:rPr>
          <w:rFonts w:hint="default" w:ascii="宋体" w:hAnsi="宋体" w:cs="宋体"/>
          <w:sz w:val="18"/>
          <w:szCs w:val="18"/>
          <w:lang w:val="en-US" w:eastAsia="zh-CN"/>
        </w:rPr>
      </w:pPr>
      <w:r>
        <w:rPr>
          <w:rFonts w:hint="default" w:ascii="宋体" w:hAnsi="宋体" w:cs="宋体"/>
          <w:sz w:val="18"/>
          <w:szCs w:val="18"/>
          <w:lang w:val="en-US" w:eastAsia="zh-CN"/>
        </w:rPr>
        <w:drawing>
          <wp:inline distT="0" distB="0" distL="0" distR="0">
            <wp:extent cx="3714750" cy="2109470"/>
            <wp:effectExtent l="0" t="0" r="6350" b="1143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4"/>
                    <a:srcRect/>
                    <a:stretch>
                      <a:fillRect/>
                    </a:stretch>
                  </pic:blipFill>
                  <pic:spPr>
                    <a:xfrm>
                      <a:off x="0" y="0"/>
                      <a:ext cx="3714750" cy="2109470"/>
                    </a:xfrm>
                    <a:prstGeom prst="rect">
                      <a:avLst/>
                    </a:prstGeom>
                  </pic:spPr>
                </pic:pic>
              </a:graphicData>
            </a:graphic>
          </wp:inline>
        </w:drawing>
      </w:r>
    </w:p>
    <w:p w14:paraId="3FE4FDA2">
      <w:pPr>
        <w:ind w:firstLine="360" w:firstLineChars="200"/>
        <w:rPr>
          <w:rFonts w:hint="default" w:ascii="宋体" w:hAnsi="宋体" w:cs="宋体"/>
          <w:sz w:val="18"/>
          <w:szCs w:val="18"/>
          <w:lang w:val="en-US" w:eastAsia="zh-CN"/>
        </w:rPr>
      </w:pPr>
    </w:p>
    <w:p w14:paraId="400B127D">
      <w:pPr>
        <w:ind w:firstLine="360" w:firstLineChars="200"/>
        <w:rPr>
          <w:rFonts w:hint="default" w:ascii="宋体" w:hAnsi="宋体" w:cs="宋体"/>
          <w:sz w:val="18"/>
          <w:szCs w:val="18"/>
          <w:lang w:val="en-US" w:eastAsia="zh-CN"/>
        </w:rPr>
      </w:pPr>
      <w:r>
        <w:rPr>
          <w:rFonts w:hint="eastAsia" w:ascii="宋体" w:hAnsi="宋体" w:cs="宋体"/>
          <w:sz w:val="18"/>
          <w:szCs w:val="18"/>
          <w:lang w:val="en-US" w:eastAsia="zh-CN"/>
        </w:rPr>
        <w:t xml:space="preserve">  在聚类个数大于5时，距离平方和下降明显变慢，故我们选择5作为聚类个数。</w:t>
      </w:r>
    </w:p>
    <w:p w14:paraId="0169BE61">
      <w:pPr>
        <w:ind w:firstLine="360" w:firstLineChars="200"/>
        <w:rPr>
          <w:rFonts w:hint="default" w:ascii="宋体" w:hAnsi="宋体" w:cs="宋体"/>
          <w:sz w:val="18"/>
          <w:szCs w:val="18"/>
          <w:lang w:val="en-US" w:eastAsia="zh-CN"/>
        </w:rPr>
      </w:pPr>
      <w:r>
        <w:rPr>
          <w:rFonts w:hint="eastAsia" w:ascii="宋体" w:hAnsi="宋体" w:cs="宋体"/>
          <w:sz w:val="18"/>
          <w:szCs w:val="18"/>
          <w:lang w:val="en-US" w:eastAsia="zh-CN"/>
        </w:rPr>
        <w:t xml:space="preserve">  下面我们对Y染色体浓度/孕妇平均BMI散点图进行聚类分析，结果如下图：</w:t>
      </w:r>
    </w:p>
    <w:p w14:paraId="66811005">
      <w:pPr>
        <w:ind w:firstLine="360" w:firstLineChars="200"/>
        <w:rPr>
          <w:rFonts w:hint="default" w:ascii="宋体" w:hAnsi="宋体" w:cs="宋体"/>
          <w:sz w:val="18"/>
          <w:szCs w:val="18"/>
          <w:lang w:val="en-US" w:eastAsia="zh-CN"/>
        </w:rPr>
      </w:pPr>
      <w:r>
        <w:rPr>
          <w:rFonts w:hint="eastAsia" w:ascii="宋体" w:hAnsi="宋体" w:cs="宋体"/>
          <w:sz w:val="18"/>
          <w:szCs w:val="18"/>
          <w:lang w:val="en-US" w:eastAsia="zh-CN"/>
        </w:rPr>
        <w:drawing>
          <wp:inline distT="0" distB="0" distL="0" distR="0">
            <wp:extent cx="4762500" cy="3278505"/>
            <wp:effectExtent l="0" t="0" r="0" b="1079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5"/>
                    <a:srcRect/>
                    <a:stretch>
                      <a:fillRect/>
                    </a:stretch>
                  </pic:blipFill>
                  <pic:spPr>
                    <a:xfrm>
                      <a:off x="0" y="0"/>
                      <a:ext cx="4762500" cy="3279098"/>
                    </a:xfrm>
                    <a:prstGeom prst="rect">
                      <a:avLst/>
                    </a:prstGeom>
                  </pic:spPr>
                </pic:pic>
              </a:graphicData>
            </a:graphic>
          </wp:inline>
        </w:drawing>
      </w:r>
      <w:bookmarkStart w:id="0" w:name="_GoBack"/>
      <w:r>
        <w:rPr>
          <w:rFonts w:hint="eastAsia" w:ascii="宋体" w:hAnsi="宋体" w:cs="宋体"/>
          <w:sz w:val="18"/>
          <w:szCs w:val="18"/>
          <w:lang w:val="en-US" w:eastAsia="zh-CN"/>
        </w:rPr>
        <w:drawing>
          <wp:inline distT="0" distB="0" distL="0" distR="0">
            <wp:extent cx="4762500" cy="242443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6"/>
                    <a:srcRect/>
                    <a:stretch>
                      <a:fillRect/>
                    </a:stretch>
                  </pic:blipFill>
                  <pic:spPr>
                    <a:xfrm>
                      <a:off x="0" y="0"/>
                      <a:ext cx="4762500" cy="2424545"/>
                    </a:xfrm>
                    <a:prstGeom prst="rect">
                      <a:avLst/>
                    </a:prstGeom>
                  </pic:spPr>
                </pic:pic>
              </a:graphicData>
            </a:graphic>
          </wp:inline>
        </w:drawing>
      </w:r>
      <w:bookmarkEnd w:id="0"/>
    </w:p>
    <w:p w14:paraId="0BA58B63">
      <w:pPr>
        <w:widowControl/>
        <w:spacing w:before="0" w:after="100"/>
        <w:ind w:left="720" w:right="720"/>
        <w:jc w:val="left"/>
        <w:rPr>
          <w:rFonts w:ascii="Calibri" w:hAnsi="Calibri" w:cs="Times New Roman"/>
          <w:kern w:val="0"/>
          <w:sz w:val="21"/>
          <w:szCs w:val="22"/>
          <w:lang/>
        </w:rPr>
      </w:pPr>
      <w:r>
        <w:rPr>
          <w:rFonts w:ascii="Calibri" w:hAnsi="Calibri" w:cs="Times New Roman"/>
          <w:b/>
          <w:bCs/>
          <w:color w:val="000000"/>
          <w:kern w:val="0"/>
          <w:sz w:val="20"/>
          <w:szCs w:val="20"/>
          <w:lang/>
        </w:rPr>
        <w:t>差异性分析</w:t>
      </w:r>
      <w:r>
        <w:rPr>
          <w:rFonts w:hint="eastAsia" w:ascii="Calibri" w:hAnsi="Calibri" w:cs="Times New Roman"/>
          <w:b/>
          <w:bCs/>
          <w:color w:val="000000"/>
          <w:kern w:val="0"/>
          <w:sz w:val="20"/>
          <w:szCs w:val="20"/>
          <w:lang w:val="en-US" w:eastAsia="zh-CN"/>
        </w:rPr>
        <w:t>与分类</w:t>
      </w:r>
      <w:r>
        <w:rPr>
          <w:rFonts w:ascii="Calibri" w:hAnsi="Calibri" w:cs="Times New Roman"/>
          <w:b/>
          <w:bCs/>
          <w:color w:val="000000"/>
          <w:kern w:val="0"/>
          <w:sz w:val="20"/>
          <w:szCs w:val="20"/>
          <w:lang/>
        </w:rPr>
        <w:t>评价</w:t>
      </w:r>
    </w:p>
    <w:tbl>
      <w:tblPr>
        <w:tblStyle w:val="4"/>
        <w:tblW w:w="4048"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 w:type="dxa"/>
          <w:bottom w:w="0" w:type="dxa"/>
          <w:right w:w="10" w:type="dxa"/>
        </w:tblCellMar>
      </w:tblPr>
      <w:tblGrid>
        <w:gridCol w:w="512"/>
        <w:gridCol w:w="827"/>
        <w:gridCol w:w="1022"/>
        <w:gridCol w:w="1022"/>
        <w:gridCol w:w="1022"/>
        <w:gridCol w:w="1022"/>
        <w:gridCol w:w="614"/>
        <w:gridCol w:w="700"/>
      </w:tblGrid>
      <w:tr w14:paraId="58883DA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380" w:type="pct"/>
            <w:vMerge w:val="restart"/>
            <w:tcBorders>
              <w:top w:val="single" w:color="000000" w:sz="10" w:space="0"/>
              <w:left w:val="nil"/>
              <w:bottom w:val="single" w:color="000000" w:sz="10" w:space="0"/>
              <w:right w:val="nil"/>
            </w:tcBorders>
            <w:vAlign w:val="center"/>
          </w:tcPr>
          <w:p w14:paraId="2B11D459">
            <w:pPr>
              <w:pBdr>
                <w:left w:val="none" w:color="auto" w:sz="0" w:space="0"/>
                <w:right w:val="none" w:color="auto" w:sz="0" w:space="0"/>
              </w:pBdr>
              <w:jc w:val="center"/>
              <w:rPr>
                <w:rFonts w:ascii="Calibri" w:hAnsi="Calibri" w:cs="Times New Roman"/>
                <w:kern w:val="0"/>
                <w:sz w:val="21"/>
                <w:szCs w:val="22"/>
                <w:lang/>
              </w:rPr>
            </w:pPr>
          </w:p>
        </w:tc>
        <w:tc>
          <w:tcPr>
            <w:tcW w:w="3645" w:type="pct"/>
            <w:gridSpan w:val="5"/>
            <w:tcBorders>
              <w:top w:val="single" w:color="000000" w:sz="10" w:space="0"/>
              <w:left w:val="nil"/>
              <w:bottom w:val="nil"/>
              <w:right w:val="nil"/>
            </w:tcBorders>
            <w:vAlign w:val="center"/>
          </w:tcPr>
          <w:p w14:paraId="35E6AA8F">
            <w:pPr>
              <w:pBdr>
                <w:left w:val="none" w:color="auto" w:sz="0" w:space="0"/>
                <w:right w:val="none" w:color="auto" w:sz="0" w:space="0"/>
              </w:pBdr>
              <w:jc w:val="center"/>
              <w:rPr>
                <w:rFonts w:ascii="Calibri" w:hAnsi="Calibri" w:cs="Times New Roman"/>
                <w:kern w:val="0"/>
                <w:sz w:val="21"/>
                <w:szCs w:val="22"/>
                <w:lang/>
              </w:rPr>
            </w:pPr>
            <w:r>
              <w:rPr>
                <w:rFonts w:ascii="Calibri" w:hAnsi="Calibri" w:cs="Times New Roman"/>
                <w:kern w:val="0"/>
                <w:sz w:val="18"/>
                <w:szCs w:val="18"/>
                <w:lang/>
              </w:rPr>
              <w:t>聚类类别（平均值±标准差）</w:t>
            </w:r>
          </w:p>
        </w:tc>
        <w:tc>
          <w:tcPr>
            <w:tcW w:w="613" w:type="dxa"/>
            <w:vMerge w:val="restart"/>
            <w:tcBorders>
              <w:top w:val="single" w:color="000000" w:sz="10" w:space="0"/>
              <w:left w:val="nil"/>
              <w:bottom w:val="single" w:color="000000" w:sz="10" w:space="0"/>
              <w:right w:val="nil"/>
            </w:tcBorders>
            <w:vAlign w:val="center"/>
          </w:tcPr>
          <w:p w14:paraId="72929F15">
            <w:pPr>
              <w:pBdr>
                <w:left w:val="none" w:color="auto" w:sz="0" w:space="0"/>
                <w:right w:val="none" w:color="auto" w:sz="0" w:space="0"/>
              </w:pBdr>
              <w:jc w:val="center"/>
              <w:rPr>
                <w:rFonts w:ascii="Calibri" w:hAnsi="Calibri" w:cs="Times New Roman"/>
                <w:kern w:val="0"/>
                <w:sz w:val="21"/>
                <w:szCs w:val="22"/>
                <w:lang/>
              </w:rPr>
            </w:pPr>
            <w:r>
              <w:rPr>
                <w:rFonts w:ascii="Calibri" w:hAnsi="Calibri" w:cs="Times New Roman"/>
                <w:kern w:val="0"/>
                <w:sz w:val="18"/>
                <w:szCs w:val="18"/>
                <w:lang/>
              </w:rPr>
              <w:t>F</w:t>
            </w:r>
          </w:p>
        </w:tc>
        <w:tc>
          <w:tcPr>
            <w:tcW w:w="700" w:type="dxa"/>
            <w:vMerge w:val="restart"/>
            <w:tcBorders>
              <w:top w:val="single" w:color="000000" w:sz="10" w:space="0"/>
              <w:left w:val="nil"/>
              <w:bottom w:val="single" w:color="000000" w:sz="10" w:space="0"/>
              <w:right w:val="nil"/>
            </w:tcBorders>
            <w:vAlign w:val="center"/>
          </w:tcPr>
          <w:p w14:paraId="1E4C0FC4">
            <w:pPr>
              <w:pBdr>
                <w:left w:val="none" w:color="auto" w:sz="0" w:space="0"/>
                <w:right w:val="none" w:color="auto" w:sz="0" w:space="0"/>
              </w:pBdr>
              <w:jc w:val="center"/>
              <w:rPr>
                <w:rFonts w:ascii="Calibri" w:hAnsi="Calibri" w:cs="Times New Roman"/>
                <w:kern w:val="0"/>
                <w:sz w:val="21"/>
                <w:szCs w:val="22"/>
                <w:lang/>
              </w:rPr>
            </w:pPr>
            <w:r>
              <w:rPr>
                <w:rFonts w:ascii="Calibri" w:hAnsi="Calibri" w:cs="Times New Roman"/>
                <w:kern w:val="0"/>
                <w:sz w:val="18"/>
                <w:szCs w:val="18"/>
                <w:lang/>
              </w:rPr>
              <w:t>P</w:t>
            </w:r>
          </w:p>
        </w:tc>
      </w:tr>
      <w:tr w14:paraId="118B29C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380" w:type="pct"/>
            <w:vMerge w:val="continue"/>
            <w:tcBorders>
              <w:top w:val="single" w:color="000000" w:sz="10" w:space="0"/>
              <w:left w:val="nil"/>
              <w:bottom w:val="single" w:color="000000" w:sz="10" w:space="0"/>
              <w:right w:val="nil"/>
            </w:tcBorders>
          </w:tcPr>
          <w:p w14:paraId="3832A587">
            <w:pPr>
              <w:rPr>
                <w:rFonts w:ascii="Calibri" w:hAnsi="Calibri" w:cs="Times New Roman"/>
                <w:kern w:val="0"/>
                <w:sz w:val="21"/>
                <w:szCs w:val="22"/>
                <w:lang/>
              </w:rPr>
            </w:pPr>
          </w:p>
        </w:tc>
        <w:tc>
          <w:tcPr>
            <w:tcW w:w="613" w:type="pct"/>
            <w:tcBorders>
              <w:top w:val="nil"/>
              <w:left w:val="nil"/>
              <w:bottom w:val="single" w:color="000000" w:sz="10" w:space="0"/>
              <w:right w:val="nil"/>
            </w:tcBorders>
            <w:vAlign w:val="center"/>
          </w:tcPr>
          <w:p w14:paraId="1D313F10">
            <w:pPr>
              <w:pBdr>
                <w:left w:val="none" w:color="auto" w:sz="0" w:space="0"/>
                <w:right w:val="none" w:color="auto" w:sz="0" w:space="0"/>
              </w:pBdr>
              <w:jc w:val="center"/>
              <w:rPr>
                <w:rFonts w:ascii="Calibri" w:hAnsi="Calibri" w:cs="Times New Roman"/>
                <w:kern w:val="0"/>
                <w:sz w:val="21"/>
                <w:szCs w:val="22"/>
                <w:lang/>
              </w:rPr>
            </w:pPr>
            <w:r>
              <w:rPr>
                <w:rFonts w:ascii="Calibri" w:hAnsi="Calibri" w:cs="Times New Roman"/>
                <w:kern w:val="0"/>
                <w:sz w:val="18"/>
                <w:szCs w:val="18"/>
                <w:lang/>
              </w:rPr>
              <w:t>类别1(n=71)</w:t>
            </w:r>
          </w:p>
        </w:tc>
        <w:tc>
          <w:tcPr>
            <w:tcW w:w="1022" w:type="dxa"/>
            <w:tcBorders>
              <w:top w:val="nil"/>
              <w:left w:val="nil"/>
              <w:bottom w:val="single" w:color="000000" w:sz="10" w:space="0"/>
              <w:right w:val="nil"/>
            </w:tcBorders>
            <w:vAlign w:val="center"/>
          </w:tcPr>
          <w:p w14:paraId="780F63A2">
            <w:pPr>
              <w:pBdr>
                <w:left w:val="none" w:color="auto" w:sz="0" w:space="0"/>
                <w:right w:val="none" w:color="auto" w:sz="0" w:space="0"/>
              </w:pBdr>
              <w:jc w:val="center"/>
              <w:rPr>
                <w:rFonts w:ascii="Calibri" w:hAnsi="Calibri" w:cs="Times New Roman"/>
                <w:kern w:val="0"/>
                <w:sz w:val="21"/>
                <w:szCs w:val="22"/>
                <w:lang/>
              </w:rPr>
            </w:pPr>
            <w:r>
              <w:rPr>
                <w:rFonts w:ascii="Calibri" w:hAnsi="Calibri" w:cs="Times New Roman"/>
                <w:kern w:val="0"/>
                <w:sz w:val="18"/>
                <w:szCs w:val="18"/>
                <w:lang/>
              </w:rPr>
              <w:t>类别2(n=60)</w:t>
            </w:r>
          </w:p>
        </w:tc>
        <w:tc>
          <w:tcPr>
            <w:tcW w:w="1022" w:type="dxa"/>
            <w:tcBorders>
              <w:top w:val="nil"/>
              <w:left w:val="nil"/>
              <w:bottom w:val="single" w:color="000000" w:sz="10" w:space="0"/>
              <w:right w:val="nil"/>
            </w:tcBorders>
            <w:vAlign w:val="center"/>
          </w:tcPr>
          <w:p w14:paraId="60C810F5">
            <w:pPr>
              <w:pBdr>
                <w:left w:val="none" w:color="auto" w:sz="0" w:space="0"/>
                <w:right w:val="none" w:color="auto" w:sz="0" w:space="0"/>
              </w:pBdr>
              <w:jc w:val="center"/>
              <w:rPr>
                <w:rFonts w:ascii="Calibri" w:hAnsi="Calibri" w:cs="Times New Roman"/>
                <w:kern w:val="0"/>
                <w:sz w:val="21"/>
                <w:szCs w:val="22"/>
                <w:lang/>
              </w:rPr>
            </w:pPr>
            <w:r>
              <w:rPr>
                <w:rFonts w:ascii="Calibri" w:hAnsi="Calibri" w:cs="Times New Roman"/>
                <w:kern w:val="0"/>
                <w:sz w:val="18"/>
                <w:szCs w:val="18"/>
                <w:lang/>
              </w:rPr>
              <w:t>类别3(n=55)</w:t>
            </w:r>
          </w:p>
        </w:tc>
        <w:tc>
          <w:tcPr>
            <w:tcW w:w="1022" w:type="dxa"/>
            <w:tcBorders>
              <w:top w:val="nil"/>
              <w:left w:val="nil"/>
              <w:bottom w:val="single" w:color="000000" w:sz="10" w:space="0"/>
              <w:right w:val="nil"/>
            </w:tcBorders>
            <w:vAlign w:val="center"/>
          </w:tcPr>
          <w:p w14:paraId="72C37BAF">
            <w:pPr>
              <w:pBdr>
                <w:left w:val="none" w:color="auto" w:sz="0" w:space="0"/>
                <w:right w:val="none" w:color="auto" w:sz="0" w:space="0"/>
              </w:pBdr>
              <w:jc w:val="center"/>
              <w:rPr>
                <w:rFonts w:ascii="Calibri" w:hAnsi="Calibri" w:cs="Times New Roman"/>
                <w:kern w:val="0"/>
                <w:sz w:val="21"/>
                <w:szCs w:val="22"/>
                <w:lang/>
              </w:rPr>
            </w:pPr>
            <w:r>
              <w:rPr>
                <w:rFonts w:ascii="Calibri" w:hAnsi="Calibri" w:cs="Times New Roman"/>
                <w:kern w:val="0"/>
                <w:sz w:val="18"/>
                <w:szCs w:val="18"/>
                <w:lang/>
              </w:rPr>
              <w:t>类别5(n=24)</w:t>
            </w:r>
          </w:p>
        </w:tc>
        <w:tc>
          <w:tcPr>
            <w:tcW w:w="1022" w:type="dxa"/>
            <w:tcBorders>
              <w:top w:val="nil"/>
              <w:left w:val="nil"/>
              <w:bottom w:val="single" w:color="000000" w:sz="10" w:space="0"/>
              <w:right w:val="nil"/>
            </w:tcBorders>
            <w:vAlign w:val="center"/>
          </w:tcPr>
          <w:p w14:paraId="01297D41">
            <w:pPr>
              <w:pBdr>
                <w:left w:val="none" w:color="auto" w:sz="0" w:space="0"/>
                <w:right w:val="none" w:color="auto" w:sz="0" w:space="0"/>
              </w:pBdr>
              <w:jc w:val="center"/>
              <w:rPr>
                <w:rFonts w:ascii="Calibri" w:hAnsi="Calibri" w:cs="Times New Roman"/>
                <w:kern w:val="0"/>
                <w:sz w:val="21"/>
                <w:szCs w:val="22"/>
                <w:lang/>
              </w:rPr>
            </w:pPr>
            <w:r>
              <w:rPr>
                <w:rFonts w:ascii="Calibri" w:hAnsi="Calibri" w:cs="Times New Roman"/>
                <w:kern w:val="0"/>
                <w:sz w:val="18"/>
                <w:szCs w:val="18"/>
                <w:lang/>
              </w:rPr>
              <w:t>类别4(n=4)</w:t>
            </w:r>
          </w:p>
        </w:tc>
        <w:tc>
          <w:tcPr>
            <w:tcW w:w="613" w:type="dxa"/>
            <w:vMerge w:val="continue"/>
            <w:tcBorders>
              <w:top w:val="single" w:color="000000" w:sz="10" w:space="0"/>
              <w:left w:val="nil"/>
              <w:bottom w:val="single" w:color="000000" w:sz="10" w:space="0"/>
              <w:right w:val="nil"/>
            </w:tcBorders>
          </w:tcPr>
          <w:p w14:paraId="42250EB6">
            <w:pPr>
              <w:rPr>
                <w:rFonts w:ascii="Calibri" w:hAnsi="Calibri" w:cs="Times New Roman"/>
                <w:kern w:val="0"/>
                <w:sz w:val="21"/>
                <w:szCs w:val="22"/>
                <w:lang/>
              </w:rPr>
            </w:pPr>
          </w:p>
        </w:tc>
        <w:tc>
          <w:tcPr>
            <w:tcW w:w="700" w:type="dxa"/>
            <w:vMerge w:val="continue"/>
            <w:tcBorders>
              <w:top w:val="single" w:color="000000" w:sz="10" w:space="0"/>
              <w:left w:val="nil"/>
              <w:bottom w:val="single" w:color="000000" w:sz="10" w:space="0"/>
              <w:right w:val="nil"/>
            </w:tcBorders>
          </w:tcPr>
          <w:p w14:paraId="38237E62">
            <w:pPr>
              <w:rPr>
                <w:rFonts w:ascii="Calibri" w:hAnsi="Calibri" w:cs="Times New Roman"/>
                <w:kern w:val="0"/>
                <w:sz w:val="21"/>
                <w:szCs w:val="22"/>
                <w:lang/>
              </w:rPr>
            </w:pPr>
          </w:p>
        </w:tc>
      </w:tr>
      <w:tr w14:paraId="2358FD4B">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380" w:type="pct"/>
            <w:tcBorders>
              <w:top w:val="nil"/>
              <w:left w:val="nil"/>
              <w:bottom w:val="nil"/>
              <w:right w:val="nil"/>
            </w:tcBorders>
            <w:vAlign w:val="center"/>
          </w:tcPr>
          <w:p w14:paraId="3446A512">
            <w:pPr>
              <w:pBdr>
                <w:left w:val="none" w:color="auto" w:sz="0" w:space="0"/>
                <w:right w:val="none" w:color="auto" w:sz="0" w:space="0"/>
              </w:pBdr>
              <w:jc w:val="center"/>
              <w:rPr>
                <w:rFonts w:ascii="Calibri" w:hAnsi="Calibri" w:cs="Times New Roman"/>
                <w:kern w:val="0"/>
                <w:sz w:val="21"/>
                <w:szCs w:val="22"/>
                <w:lang/>
              </w:rPr>
            </w:pPr>
            <w:r>
              <w:rPr>
                <w:rFonts w:ascii="Calibri" w:hAnsi="Calibri" w:cs="Times New Roman"/>
                <w:kern w:val="0"/>
                <w:sz w:val="18"/>
                <w:szCs w:val="18"/>
                <w:lang/>
              </w:rPr>
              <w:t xml:space="preserve"> 孕妇平均BMI </w:t>
            </w:r>
          </w:p>
        </w:tc>
        <w:tc>
          <w:tcPr>
            <w:tcW w:w="613" w:type="pct"/>
            <w:tcBorders>
              <w:top w:val="nil"/>
              <w:left w:val="nil"/>
              <w:bottom w:val="nil"/>
              <w:right w:val="nil"/>
            </w:tcBorders>
            <w:vAlign w:val="center"/>
          </w:tcPr>
          <w:p w14:paraId="281EA4A1">
            <w:pPr>
              <w:pBdr>
                <w:left w:val="none" w:color="auto" w:sz="0" w:space="0"/>
                <w:right w:val="none" w:color="auto" w:sz="0" w:space="0"/>
              </w:pBdr>
              <w:jc w:val="center"/>
              <w:rPr>
                <w:rFonts w:ascii="Calibri" w:hAnsi="Calibri" w:cs="Times New Roman"/>
                <w:kern w:val="0"/>
                <w:sz w:val="21"/>
                <w:szCs w:val="22"/>
                <w:lang/>
              </w:rPr>
            </w:pPr>
            <w:r>
              <w:rPr>
                <w:rFonts w:ascii="Calibri" w:hAnsi="Calibri" w:cs="Times New Roman"/>
                <w:kern w:val="0"/>
                <w:sz w:val="18"/>
                <w:szCs w:val="18"/>
                <w:lang/>
              </w:rPr>
              <w:t xml:space="preserve"> 31.125±0.555 </w:t>
            </w:r>
          </w:p>
        </w:tc>
        <w:tc>
          <w:tcPr>
            <w:tcW w:w="1022" w:type="dxa"/>
            <w:tcBorders>
              <w:top w:val="nil"/>
              <w:left w:val="nil"/>
              <w:bottom w:val="nil"/>
              <w:right w:val="nil"/>
            </w:tcBorders>
            <w:vAlign w:val="center"/>
          </w:tcPr>
          <w:p w14:paraId="3C12453C">
            <w:pPr>
              <w:pBdr>
                <w:left w:val="none" w:color="auto" w:sz="0" w:space="0"/>
                <w:right w:val="none" w:color="auto" w:sz="0" w:space="0"/>
              </w:pBdr>
              <w:jc w:val="center"/>
              <w:rPr>
                <w:rFonts w:ascii="Calibri" w:hAnsi="Calibri" w:cs="Times New Roman"/>
                <w:kern w:val="0"/>
                <w:sz w:val="21"/>
                <w:szCs w:val="22"/>
                <w:lang/>
              </w:rPr>
            </w:pPr>
            <w:r>
              <w:rPr>
                <w:rFonts w:ascii="Calibri" w:hAnsi="Calibri" w:cs="Times New Roman"/>
                <w:kern w:val="0"/>
                <w:sz w:val="18"/>
                <w:szCs w:val="18"/>
                <w:lang/>
              </w:rPr>
              <w:t xml:space="preserve"> 33.415±0.649 </w:t>
            </w:r>
          </w:p>
        </w:tc>
        <w:tc>
          <w:tcPr>
            <w:tcW w:w="1022" w:type="dxa"/>
            <w:tcBorders>
              <w:top w:val="nil"/>
              <w:left w:val="nil"/>
              <w:bottom w:val="nil"/>
              <w:right w:val="nil"/>
            </w:tcBorders>
            <w:vAlign w:val="center"/>
          </w:tcPr>
          <w:p w14:paraId="29F235AB">
            <w:pPr>
              <w:pBdr>
                <w:left w:val="none" w:color="auto" w:sz="0" w:space="0"/>
                <w:right w:val="none" w:color="auto" w:sz="0" w:space="0"/>
              </w:pBdr>
              <w:jc w:val="center"/>
              <w:rPr>
                <w:rFonts w:ascii="Calibri" w:hAnsi="Calibri" w:cs="Times New Roman"/>
                <w:kern w:val="0"/>
                <w:sz w:val="21"/>
                <w:szCs w:val="22"/>
                <w:lang/>
              </w:rPr>
            </w:pPr>
            <w:r>
              <w:rPr>
                <w:rFonts w:ascii="Calibri" w:hAnsi="Calibri" w:cs="Times New Roman"/>
                <w:kern w:val="0"/>
                <w:sz w:val="18"/>
                <w:szCs w:val="18"/>
                <w:lang/>
              </w:rPr>
              <w:t xml:space="preserve"> 29.251±0.698 </w:t>
            </w:r>
          </w:p>
        </w:tc>
        <w:tc>
          <w:tcPr>
            <w:tcW w:w="1022" w:type="dxa"/>
            <w:tcBorders>
              <w:top w:val="nil"/>
              <w:left w:val="nil"/>
              <w:bottom w:val="nil"/>
              <w:right w:val="nil"/>
            </w:tcBorders>
            <w:vAlign w:val="center"/>
          </w:tcPr>
          <w:p w14:paraId="4D9E69E3">
            <w:pPr>
              <w:pBdr>
                <w:left w:val="none" w:color="auto" w:sz="0" w:space="0"/>
                <w:right w:val="none" w:color="auto" w:sz="0" w:space="0"/>
              </w:pBdr>
              <w:jc w:val="center"/>
              <w:rPr>
                <w:rFonts w:ascii="Calibri" w:hAnsi="Calibri" w:cs="Times New Roman"/>
                <w:kern w:val="0"/>
                <w:sz w:val="21"/>
                <w:szCs w:val="22"/>
                <w:lang/>
              </w:rPr>
            </w:pPr>
            <w:r>
              <w:rPr>
                <w:rFonts w:ascii="Calibri" w:hAnsi="Calibri" w:cs="Times New Roman"/>
                <w:kern w:val="0"/>
                <w:sz w:val="18"/>
                <w:szCs w:val="18"/>
                <w:lang/>
              </w:rPr>
              <w:t xml:space="preserve"> 35.837±0.716 </w:t>
            </w:r>
          </w:p>
        </w:tc>
        <w:tc>
          <w:tcPr>
            <w:tcW w:w="1022" w:type="dxa"/>
            <w:tcBorders>
              <w:top w:val="nil"/>
              <w:left w:val="nil"/>
              <w:bottom w:val="nil"/>
              <w:right w:val="nil"/>
            </w:tcBorders>
            <w:vAlign w:val="center"/>
          </w:tcPr>
          <w:p w14:paraId="135BF461">
            <w:pPr>
              <w:pBdr>
                <w:left w:val="none" w:color="auto" w:sz="0" w:space="0"/>
                <w:right w:val="none" w:color="auto" w:sz="0" w:space="0"/>
              </w:pBdr>
              <w:jc w:val="center"/>
              <w:rPr>
                <w:rFonts w:ascii="Calibri" w:hAnsi="Calibri" w:cs="Times New Roman"/>
                <w:kern w:val="0"/>
                <w:sz w:val="21"/>
                <w:szCs w:val="22"/>
                <w:lang/>
              </w:rPr>
            </w:pPr>
            <w:r>
              <w:rPr>
                <w:rFonts w:ascii="Calibri" w:hAnsi="Calibri" w:cs="Times New Roman"/>
                <w:kern w:val="0"/>
                <w:sz w:val="18"/>
                <w:szCs w:val="18"/>
                <w:lang/>
              </w:rPr>
              <w:t xml:space="preserve"> 40.487±1.723 </w:t>
            </w:r>
          </w:p>
        </w:tc>
        <w:tc>
          <w:tcPr>
            <w:tcW w:w="613" w:type="dxa"/>
            <w:tcBorders>
              <w:top w:val="nil"/>
              <w:left w:val="nil"/>
              <w:bottom w:val="nil"/>
              <w:right w:val="nil"/>
            </w:tcBorders>
            <w:vAlign w:val="center"/>
          </w:tcPr>
          <w:p w14:paraId="0F41356D">
            <w:pPr>
              <w:pBdr>
                <w:left w:val="none" w:color="auto" w:sz="0" w:space="0"/>
                <w:right w:val="none" w:color="auto" w:sz="0" w:space="0"/>
              </w:pBdr>
              <w:jc w:val="center"/>
              <w:rPr>
                <w:rFonts w:ascii="Calibri" w:hAnsi="Calibri" w:cs="Times New Roman"/>
                <w:kern w:val="0"/>
                <w:sz w:val="21"/>
                <w:szCs w:val="22"/>
                <w:lang/>
              </w:rPr>
            </w:pPr>
            <w:r>
              <w:rPr>
                <w:rFonts w:ascii="Calibri" w:hAnsi="Calibri" w:cs="Times New Roman"/>
                <w:kern w:val="0"/>
                <w:sz w:val="18"/>
                <w:szCs w:val="18"/>
                <w:lang/>
              </w:rPr>
              <w:t xml:space="preserve"> 688.969 </w:t>
            </w:r>
          </w:p>
        </w:tc>
        <w:tc>
          <w:tcPr>
            <w:tcW w:w="700" w:type="dxa"/>
            <w:tcBorders>
              <w:top w:val="nil"/>
              <w:left w:val="nil"/>
              <w:bottom w:val="nil"/>
              <w:right w:val="nil"/>
            </w:tcBorders>
            <w:vAlign w:val="center"/>
          </w:tcPr>
          <w:p w14:paraId="69F3CAD4">
            <w:pPr>
              <w:pBdr>
                <w:left w:val="none" w:color="auto" w:sz="0" w:space="0"/>
                <w:right w:val="none" w:color="auto" w:sz="0" w:space="0"/>
              </w:pBdr>
              <w:jc w:val="center"/>
              <w:rPr>
                <w:rFonts w:ascii="Calibri" w:hAnsi="Calibri" w:cs="Times New Roman"/>
                <w:kern w:val="0"/>
                <w:sz w:val="21"/>
                <w:szCs w:val="22"/>
                <w:lang/>
              </w:rPr>
            </w:pPr>
            <w:r>
              <w:rPr>
                <w:rFonts w:ascii="Calibri" w:hAnsi="Calibri" w:cs="Times New Roman"/>
                <w:kern w:val="0"/>
                <w:sz w:val="18"/>
                <w:szCs w:val="18"/>
                <w:lang/>
              </w:rPr>
              <w:t xml:space="preserve"> 0.000*** </w:t>
            </w:r>
          </w:p>
        </w:tc>
      </w:tr>
      <w:tr w14:paraId="1A43DF34">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380" w:type="pct"/>
            <w:tcBorders>
              <w:top w:val="nil"/>
              <w:left w:val="nil"/>
              <w:bottom w:val="single" w:color="000000" w:sz="10" w:space="0"/>
              <w:right w:val="nil"/>
            </w:tcBorders>
            <w:vAlign w:val="center"/>
          </w:tcPr>
          <w:p w14:paraId="2259EB4F">
            <w:pPr>
              <w:pBdr>
                <w:left w:val="none" w:color="auto" w:sz="0" w:space="0"/>
                <w:right w:val="none" w:color="auto" w:sz="0" w:space="0"/>
              </w:pBdr>
              <w:jc w:val="center"/>
              <w:rPr>
                <w:rFonts w:ascii="Calibri" w:hAnsi="Calibri" w:cs="Times New Roman"/>
                <w:kern w:val="0"/>
                <w:sz w:val="21"/>
                <w:szCs w:val="22"/>
                <w:lang/>
              </w:rPr>
            </w:pPr>
            <w:r>
              <w:rPr>
                <w:rFonts w:ascii="Calibri" w:hAnsi="Calibri" w:cs="Times New Roman"/>
                <w:kern w:val="0"/>
                <w:sz w:val="18"/>
                <w:szCs w:val="18"/>
                <w:lang/>
              </w:rPr>
              <w:t xml:space="preserve"> Y染色体浓度 </w:t>
            </w:r>
          </w:p>
        </w:tc>
        <w:tc>
          <w:tcPr>
            <w:tcW w:w="613" w:type="pct"/>
            <w:tcBorders>
              <w:top w:val="nil"/>
              <w:left w:val="nil"/>
              <w:bottom w:val="single" w:color="000000" w:sz="10" w:space="0"/>
              <w:right w:val="nil"/>
            </w:tcBorders>
            <w:vAlign w:val="center"/>
          </w:tcPr>
          <w:p w14:paraId="15D7177E">
            <w:pPr>
              <w:pBdr>
                <w:left w:val="none" w:color="auto" w:sz="0" w:space="0"/>
                <w:right w:val="none" w:color="auto" w:sz="0" w:space="0"/>
              </w:pBdr>
              <w:jc w:val="center"/>
              <w:rPr>
                <w:rFonts w:ascii="Calibri" w:hAnsi="Calibri" w:cs="Times New Roman"/>
                <w:kern w:val="0"/>
                <w:sz w:val="21"/>
                <w:szCs w:val="22"/>
                <w:lang/>
              </w:rPr>
            </w:pPr>
            <w:r>
              <w:rPr>
                <w:rFonts w:ascii="Calibri" w:hAnsi="Calibri" w:cs="Times New Roman"/>
                <w:kern w:val="0"/>
                <w:sz w:val="18"/>
                <w:szCs w:val="18"/>
                <w:lang/>
              </w:rPr>
              <w:t xml:space="preserve"> 0.076±0.03 </w:t>
            </w:r>
          </w:p>
        </w:tc>
        <w:tc>
          <w:tcPr>
            <w:tcW w:w="1022" w:type="dxa"/>
            <w:tcBorders>
              <w:top w:val="nil"/>
              <w:left w:val="nil"/>
              <w:bottom w:val="single" w:color="000000" w:sz="10" w:space="0"/>
              <w:right w:val="nil"/>
            </w:tcBorders>
            <w:vAlign w:val="center"/>
          </w:tcPr>
          <w:p w14:paraId="328B41CE">
            <w:pPr>
              <w:pBdr>
                <w:left w:val="none" w:color="auto" w:sz="0" w:space="0"/>
                <w:right w:val="none" w:color="auto" w:sz="0" w:space="0"/>
              </w:pBdr>
              <w:jc w:val="center"/>
              <w:rPr>
                <w:rFonts w:ascii="Calibri" w:hAnsi="Calibri" w:cs="Times New Roman"/>
                <w:kern w:val="0"/>
                <w:sz w:val="21"/>
                <w:szCs w:val="22"/>
                <w:lang/>
              </w:rPr>
            </w:pPr>
            <w:r>
              <w:rPr>
                <w:rFonts w:ascii="Calibri" w:hAnsi="Calibri" w:cs="Times New Roman"/>
                <w:kern w:val="0"/>
                <w:sz w:val="18"/>
                <w:szCs w:val="18"/>
                <w:lang/>
              </w:rPr>
              <w:t xml:space="preserve"> 0.074±0.023 </w:t>
            </w:r>
          </w:p>
        </w:tc>
        <w:tc>
          <w:tcPr>
            <w:tcW w:w="1022" w:type="dxa"/>
            <w:tcBorders>
              <w:top w:val="nil"/>
              <w:left w:val="nil"/>
              <w:bottom w:val="single" w:color="000000" w:sz="10" w:space="0"/>
              <w:right w:val="nil"/>
            </w:tcBorders>
            <w:vAlign w:val="center"/>
          </w:tcPr>
          <w:p w14:paraId="09252AAA">
            <w:pPr>
              <w:pBdr>
                <w:left w:val="none" w:color="auto" w:sz="0" w:space="0"/>
                <w:right w:val="none" w:color="auto" w:sz="0" w:space="0"/>
              </w:pBdr>
              <w:jc w:val="center"/>
              <w:rPr>
                <w:rFonts w:ascii="Calibri" w:hAnsi="Calibri" w:cs="Times New Roman"/>
                <w:kern w:val="0"/>
                <w:sz w:val="21"/>
                <w:szCs w:val="22"/>
                <w:lang/>
              </w:rPr>
            </w:pPr>
            <w:r>
              <w:rPr>
                <w:rFonts w:ascii="Calibri" w:hAnsi="Calibri" w:cs="Times New Roman"/>
                <w:kern w:val="0"/>
                <w:sz w:val="18"/>
                <w:szCs w:val="18"/>
                <w:lang/>
              </w:rPr>
              <w:t xml:space="preserve"> 0.081±0.024 </w:t>
            </w:r>
          </w:p>
        </w:tc>
        <w:tc>
          <w:tcPr>
            <w:tcW w:w="1022" w:type="dxa"/>
            <w:tcBorders>
              <w:top w:val="nil"/>
              <w:left w:val="nil"/>
              <w:bottom w:val="single" w:color="000000" w:sz="10" w:space="0"/>
              <w:right w:val="nil"/>
            </w:tcBorders>
            <w:vAlign w:val="center"/>
          </w:tcPr>
          <w:p w14:paraId="1AF6288F">
            <w:pPr>
              <w:pBdr>
                <w:left w:val="none" w:color="auto" w:sz="0" w:space="0"/>
                <w:right w:val="none" w:color="auto" w:sz="0" w:space="0"/>
              </w:pBdr>
              <w:jc w:val="center"/>
              <w:rPr>
                <w:rFonts w:ascii="Calibri" w:hAnsi="Calibri" w:cs="Times New Roman"/>
                <w:kern w:val="0"/>
                <w:sz w:val="21"/>
                <w:szCs w:val="22"/>
                <w:lang/>
              </w:rPr>
            </w:pPr>
            <w:r>
              <w:rPr>
                <w:rFonts w:ascii="Calibri" w:hAnsi="Calibri" w:cs="Times New Roman"/>
                <w:kern w:val="0"/>
                <w:sz w:val="18"/>
                <w:szCs w:val="18"/>
                <w:lang/>
              </w:rPr>
              <w:t xml:space="preserve"> 0.062±0.017 </w:t>
            </w:r>
          </w:p>
        </w:tc>
        <w:tc>
          <w:tcPr>
            <w:tcW w:w="1022" w:type="dxa"/>
            <w:tcBorders>
              <w:top w:val="nil"/>
              <w:left w:val="nil"/>
              <w:bottom w:val="single" w:color="000000" w:sz="10" w:space="0"/>
              <w:right w:val="nil"/>
            </w:tcBorders>
            <w:vAlign w:val="center"/>
          </w:tcPr>
          <w:p w14:paraId="50873F6C">
            <w:pPr>
              <w:pBdr>
                <w:left w:val="none" w:color="auto" w:sz="0" w:space="0"/>
                <w:right w:val="none" w:color="auto" w:sz="0" w:space="0"/>
              </w:pBdr>
              <w:jc w:val="center"/>
              <w:rPr>
                <w:rFonts w:ascii="Calibri" w:hAnsi="Calibri" w:cs="Times New Roman"/>
                <w:kern w:val="0"/>
                <w:sz w:val="21"/>
                <w:szCs w:val="22"/>
                <w:lang/>
              </w:rPr>
            </w:pPr>
            <w:r>
              <w:rPr>
                <w:rFonts w:ascii="Calibri" w:hAnsi="Calibri" w:cs="Times New Roman"/>
                <w:kern w:val="0"/>
                <w:sz w:val="18"/>
                <w:szCs w:val="18"/>
                <w:lang/>
              </w:rPr>
              <w:t xml:space="preserve"> 0.063±0.026 </w:t>
            </w:r>
          </w:p>
        </w:tc>
        <w:tc>
          <w:tcPr>
            <w:tcW w:w="613" w:type="dxa"/>
            <w:tcBorders>
              <w:top w:val="nil"/>
              <w:left w:val="nil"/>
              <w:bottom w:val="single" w:color="000000" w:sz="10" w:space="0"/>
              <w:right w:val="nil"/>
            </w:tcBorders>
            <w:vAlign w:val="center"/>
          </w:tcPr>
          <w:p w14:paraId="6AC86EA7">
            <w:pPr>
              <w:pBdr>
                <w:left w:val="none" w:color="auto" w:sz="0" w:space="0"/>
                <w:right w:val="none" w:color="auto" w:sz="0" w:space="0"/>
              </w:pBdr>
              <w:jc w:val="center"/>
              <w:rPr>
                <w:rFonts w:ascii="Calibri" w:hAnsi="Calibri" w:cs="Times New Roman"/>
                <w:kern w:val="0"/>
                <w:sz w:val="21"/>
                <w:szCs w:val="22"/>
                <w:lang/>
              </w:rPr>
            </w:pPr>
            <w:r>
              <w:rPr>
                <w:rFonts w:ascii="Calibri" w:hAnsi="Calibri" w:cs="Times New Roman"/>
                <w:kern w:val="0"/>
                <w:sz w:val="18"/>
                <w:szCs w:val="18"/>
                <w:lang/>
              </w:rPr>
              <w:t xml:space="preserve"> 2.497 </w:t>
            </w:r>
          </w:p>
        </w:tc>
        <w:tc>
          <w:tcPr>
            <w:tcW w:w="700" w:type="dxa"/>
            <w:tcBorders>
              <w:top w:val="nil"/>
              <w:left w:val="nil"/>
              <w:bottom w:val="single" w:color="000000" w:sz="10" w:space="0"/>
              <w:right w:val="nil"/>
            </w:tcBorders>
            <w:vAlign w:val="center"/>
          </w:tcPr>
          <w:p w14:paraId="61A930FF">
            <w:pPr>
              <w:pBdr>
                <w:left w:val="none" w:color="auto" w:sz="0" w:space="0"/>
                <w:right w:val="none" w:color="auto" w:sz="0" w:space="0"/>
              </w:pBdr>
              <w:jc w:val="center"/>
              <w:rPr>
                <w:rFonts w:ascii="Calibri" w:hAnsi="Calibri" w:cs="Times New Roman"/>
                <w:kern w:val="0"/>
                <w:sz w:val="21"/>
                <w:szCs w:val="22"/>
                <w:lang/>
              </w:rPr>
            </w:pPr>
            <w:r>
              <w:rPr>
                <w:rFonts w:ascii="Calibri" w:hAnsi="Calibri" w:cs="Times New Roman"/>
                <w:kern w:val="0"/>
                <w:sz w:val="18"/>
                <w:szCs w:val="18"/>
                <w:lang/>
              </w:rPr>
              <w:t xml:space="preserve"> 0.044** </w:t>
            </w:r>
          </w:p>
        </w:tc>
      </w:tr>
      <w:tr w14:paraId="55FEC256">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6741" w:type="dxa"/>
            <w:gridSpan w:val="8"/>
            <w:tcBorders>
              <w:top w:val="nil"/>
              <w:left w:val="nil"/>
              <w:bottom w:val="nil"/>
              <w:right w:val="nil"/>
            </w:tcBorders>
            <w:vAlign w:val="center"/>
          </w:tcPr>
          <w:p w14:paraId="15418160">
            <w:pPr>
              <w:pBdr>
                <w:left w:val="none" w:color="auto" w:sz="0" w:space="0"/>
                <w:right w:val="none" w:color="auto" w:sz="0" w:space="0"/>
              </w:pBdr>
              <w:jc w:val="left"/>
              <w:rPr>
                <w:rFonts w:ascii="Calibri" w:hAnsi="Calibri" w:cs="Times New Roman"/>
                <w:kern w:val="0"/>
                <w:sz w:val="21"/>
                <w:szCs w:val="22"/>
                <w:lang/>
              </w:rPr>
            </w:pPr>
            <w:r>
              <w:rPr>
                <w:rFonts w:ascii="Calibri" w:hAnsi="Calibri" w:cs="Times New Roman"/>
                <w:kern w:val="0"/>
                <w:sz w:val="18"/>
                <w:szCs w:val="18"/>
                <w:lang/>
              </w:rPr>
              <w:t xml:space="preserve"> 注：***、**、*分别代表1%、5%、10%的显著性水平 </w:t>
            </w:r>
          </w:p>
        </w:tc>
      </w:tr>
    </w:tbl>
    <w:p w14:paraId="78482DEB">
      <w:pPr>
        <w:widowControl/>
        <w:spacing w:before="0" w:after="100"/>
        <w:ind w:right="720" w:firstLine="360" w:firstLineChars="200"/>
        <w:jc w:val="left"/>
        <w:rPr>
          <w:b w:val="0"/>
          <w:bCs w:val="0"/>
          <w:color w:val="000000"/>
          <w:sz w:val="18"/>
          <w:szCs w:val="18"/>
        </w:rPr>
      </w:pPr>
      <w:r>
        <w:rPr>
          <w:b w:val="0"/>
          <w:bCs w:val="0"/>
          <w:color w:val="000000"/>
          <w:sz w:val="18"/>
          <w:szCs w:val="18"/>
        </w:rPr>
        <w:t>对于变量孕妇平均BMI，显著性P值为0.000***，水平上呈现显著性，拒绝原假设，说明变量孕妇平均BMI在聚类分析划分的类别之间存在显著性差异；</w:t>
      </w:r>
      <w:r>
        <w:rPr>
          <w:b w:val="0"/>
          <w:bCs w:val="0"/>
          <w:color w:val="000000"/>
          <w:sz w:val="18"/>
          <w:szCs w:val="18"/>
        </w:rPr>
        <w:br w:type="textWrapping"/>
      </w:r>
      <w:r>
        <w:rPr>
          <w:rFonts w:hint="eastAsia"/>
          <w:b w:val="0"/>
          <w:bCs w:val="0"/>
          <w:color w:val="000000"/>
          <w:sz w:val="18"/>
          <w:szCs w:val="18"/>
          <w:lang w:val="en-US" w:eastAsia="zh-CN"/>
        </w:rPr>
        <w:t xml:space="preserve">    </w:t>
      </w:r>
      <w:r>
        <w:rPr>
          <w:b w:val="0"/>
          <w:bCs w:val="0"/>
          <w:color w:val="000000"/>
          <w:sz w:val="18"/>
          <w:szCs w:val="18"/>
        </w:rPr>
        <w:t>对于变量Y染色体浓度，显著性P值为0.044**，水平上呈现显著性，拒绝原假设，说明变量Y染色体浓度在聚类分析划分的类别之间存在显著性差异；</w:t>
      </w:r>
    </w:p>
    <w:tbl>
      <w:tblPr>
        <w:tblStyle w:val="4"/>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2029"/>
        <w:gridCol w:w="1718"/>
        <w:gridCol w:w="1901"/>
      </w:tblGrid>
      <w:tr w14:paraId="406DEDC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single" w:color="000000" w:sz="10" w:space="0"/>
              <w:left w:val="nil"/>
              <w:bottom w:val="single" w:color="000000" w:sz="10" w:space="0"/>
              <w:right w:val="nil"/>
            </w:tcBorders>
            <w:vAlign w:val="center"/>
          </w:tcPr>
          <w:p w14:paraId="49695D63">
            <w:pPr>
              <w:widowControl/>
              <w:spacing w:before="0" w:after="100"/>
              <w:ind w:right="720" w:firstLine="360" w:firstLineChars="200"/>
              <w:jc w:val="left"/>
              <w:rPr>
                <w:b w:val="0"/>
                <w:bCs w:val="0"/>
                <w:color w:val="000000"/>
                <w:sz w:val="18"/>
                <w:szCs w:val="18"/>
              </w:rPr>
            </w:pPr>
            <w:r>
              <w:rPr>
                <w:b w:val="0"/>
                <w:bCs w:val="0"/>
                <w:color w:val="000000"/>
                <w:sz w:val="18"/>
                <w:szCs w:val="18"/>
              </w:rPr>
              <w:t>轮廓系数</w:t>
            </w:r>
          </w:p>
        </w:tc>
        <w:tc>
          <w:tcPr>
            <w:tcBorders>
              <w:top w:val="single" w:color="000000" w:sz="10" w:space="0"/>
              <w:left w:val="nil"/>
              <w:bottom w:val="single" w:color="000000" w:sz="10" w:space="0"/>
              <w:right w:val="nil"/>
            </w:tcBorders>
            <w:vAlign w:val="center"/>
          </w:tcPr>
          <w:p w14:paraId="7C81FF3A">
            <w:pPr>
              <w:widowControl/>
              <w:spacing w:before="0" w:after="100"/>
              <w:ind w:right="720" w:firstLine="360" w:firstLineChars="200"/>
              <w:jc w:val="left"/>
              <w:rPr>
                <w:b w:val="0"/>
                <w:bCs w:val="0"/>
                <w:color w:val="000000"/>
                <w:sz w:val="18"/>
                <w:szCs w:val="18"/>
              </w:rPr>
            </w:pPr>
            <w:r>
              <w:rPr>
                <w:b w:val="0"/>
                <w:bCs w:val="0"/>
                <w:color w:val="000000"/>
                <w:sz w:val="18"/>
                <w:szCs w:val="18"/>
              </w:rPr>
              <w:t>DBI</w:t>
            </w:r>
          </w:p>
        </w:tc>
        <w:tc>
          <w:tcPr>
            <w:tcBorders>
              <w:top w:val="single" w:color="000000" w:sz="10" w:space="0"/>
              <w:left w:val="nil"/>
              <w:bottom w:val="single" w:color="000000" w:sz="10" w:space="0"/>
              <w:right w:val="nil"/>
            </w:tcBorders>
            <w:vAlign w:val="center"/>
          </w:tcPr>
          <w:p w14:paraId="3CBEDEAF">
            <w:pPr>
              <w:widowControl/>
              <w:spacing w:before="0" w:after="100"/>
              <w:ind w:right="720" w:firstLine="360" w:firstLineChars="200"/>
              <w:jc w:val="left"/>
              <w:rPr>
                <w:b w:val="0"/>
                <w:bCs w:val="0"/>
                <w:color w:val="000000"/>
                <w:sz w:val="18"/>
                <w:szCs w:val="18"/>
              </w:rPr>
            </w:pPr>
            <w:r>
              <w:rPr>
                <w:b w:val="0"/>
                <w:bCs w:val="0"/>
                <w:color w:val="000000"/>
                <w:sz w:val="18"/>
                <w:szCs w:val="18"/>
              </w:rPr>
              <w:t>CH</w:t>
            </w:r>
          </w:p>
        </w:tc>
      </w:tr>
      <w:tr w14:paraId="7BEAA14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14:paraId="62029E57">
            <w:pPr>
              <w:widowControl/>
              <w:spacing w:before="0" w:after="100"/>
              <w:ind w:right="720" w:firstLine="360" w:firstLineChars="200"/>
              <w:jc w:val="left"/>
              <w:rPr>
                <w:b w:val="0"/>
                <w:bCs w:val="0"/>
                <w:color w:val="000000"/>
                <w:sz w:val="18"/>
                <w:szCs w:val="18"/>
              </w:rPr>
            </w:pPr>
            <w:r>
              <w:rPr>
                <w:b w:val="0"/>
                <w:bCs w:val="0"/>
                <w:color w:val="000000"/>
                <w:sz w:val="18"/>
                <w:szCs w:val="18"/>
              </w:rPr>
              <w:t>0.54</w:t>
            </w:r>
          </w:p>
        </w:tc>
        <w:tc>
          <w:tcPr>
            <w:tcBorders>
              <w:top w:val="nil"/>
              <w:left w:val="nil"/>
              <w:bottom w:val="single" w:color="000000" w:sz="10" w:space="0"/>
              <w:right w:val="nil"/>
            </w:tcBorders>
            <w:vAlign w:val="center"/>
          </w:tcPr>
          <w:p w14:paraId="23B3FDF1">
            <w:pPr>
              <w:widowControl/>
              <w:spacing w:before="0" w:after="100"/>
              <w:ind w:right="720" w:firstLine="360" w:firstLineChars="200"/>
              <w:jc w:val="left"/>
              <w:rPr>
                <w:b w:val="0"/>
                <w:bCs w:val="0"/>
                <w:color w:val="000000"/>
                <w:sz w:val="18"/>
                <w:szCs w:val="18"/>
              </w:rPr>
            </w:pPr>
            <w:r>
              <w:rPr>
                <w:b w:val="0"/>
                <w:bCs w:val="0"/>
                <w:color w:val="000000"/>
                <w:sz w:val="18"/>
                <w:szCs w:val="18"/>
              </w:rPr>
              <w:t>0.499</w:t>
            </w:r>
          </w:p>
        </w:tc>
        <w:tc>
          <w:tcPr>
            <w:tcBorders>
              <w:top w:val="nil"/>
              <w:left w:val="nil"/>
              <w:bottom w:val="single" w:color="000000" w:sz="10" w:space="0"/>
              <w:right w:val="nil"/>
            </w:tcBorders>
            <w:vAlign w:val="center"/>
          </w:tcPr>
          <w:p w14:paraId="5097A35B">
            <w:pPr>
              <w:widowControl/>
              <w:spacing w:before="0" w:after="100"/>
              <w:ind w:right="720" w:firstLine="360" w:firstLineChars="200"/>
              <w:jc w:val="left"/>
              <w:rPr>
                <w:b w:val="0"/>
                <w:bCs w:val="0"/>
                <w:color w:val="000000"/>
                <w:sz w:val="18"/>
                <w:szCs w:val="18"/>
              </w:rPr>
            </w:pPr>
            <w:r>
              <w:rPr>
                <w:b w:val="0"/>
                <w:bCs w:val="0"/>
                <w:color w:val="000000"/>
                <w:sz w:val="18"/>
                <w:szCs w:val="18"/>
              </w:rPr>
              <w:t>798.274</w:t>
            </w:r>
          </w:p>
        </w:tc>
      </w:tr>
    </w:tbl>
    <w:p w14:paraId="16BAD736">
      <w:pPr>
        <w:widowControl/>
        <w:spacing w:before="0" w:after="100"/>
        <w:ind w:right="720" w:firstLine="360" w:firstLineChars="200"/>
        <w:jc w:val="left"/>
        <w:rPr>
          <w:rFonts w:hint="default" w:eastAsia="宋体"/>
          <w:b w:val="0"/>
          <w:bCs w:val="0"/>
          <w:color w:val="000000"/>
          <w:sz w:val="18"/>
          <w:szCs w:val="18"/>
          <w:lang w:val="en-US" w:eastAsia="zh-CN"/>
        </w:rPr>
      </w:pPr>
      <w:r>
        <w:rPr>
          <w:b w:val="0"/>
          <w:bCs w:val="0"/>
          <w:color w:val="000000"/>
          <w:sz w:val="18"/>
          <w:szCs w:val="18"/>
        </w:rPr>
        <w:br w:type="textWrapping"/>
      </w:r>
      <w:r>
        <w:rPr>
          <w:rFonts w:hint="eastAsia"/>
          <w:b w:val="0"/>
          <w:bCs w:val="0"/>
          <w:color w:val="000000"/>
          <w:sz w:val="18"/>
          <w:szCs w:val="18"/>
          <w:lang w:val="en-US" w:eastAsia="zh-CN"/>
        </w:rPr>
        <w:t>轮廓系数&gt;？DBI&lt;?，CH&gt;?,</w:t>
      </w:r>
      <w:r>
        <w:rPr>
          <w:b w:val="0"/>
          <w:bCs w:val="0"/>
          <w:color w:val="000000"/>
          <w:sz w:val="18"/>
          <w:szCs w:val="18"/>
        </w:rPr>
        <w:t>说明</w:t>
      </w:r>
      <w:r>
        <w:rPr>
          <w:rFonts w:hint="eastAsia"/>
          <w:b w:val="0"/>
          <w:bCs w:val="0"/>
          <w:color w:val="000000"/>
          <w:sz w:val="18"/>
          <w:szCs w:val="18"/>
          <w:lang w:val="en-US" w:eastAsia="zh-CN"/>
        </w:rPr>
        <w:t>聚类效果好，分类可靠。</w:t>
      </w:r>
    </w:p>
    <w:p w14:paraId="0CA773F5">
      <w:pPr>
        <w:widowControl/>
        <w:spacing w:before="0" w:after="100"/>
        <w:ind w:right="720"/>
        <w:jc w:val="left"/>
        <w:rPr>
          <w:rFonts w:hint="eastAsia"/>
          <w:b w:val="0"/>
          <w:bCs w:val="0"/>
          <w:color w:val="C00000"/>
          <w:sz w:val="18"/>
          <w:szCs w:val="18"/>
          <w:highlight w:val="yellow"/>
          <w:lang w:val="en-US" w:eastAsia="zh-CN"/>
        </w:rPr>
      </w:pPr>
      <w:r>
        <w:rPr>
          <w:rFonts w:hint="eastAsia"/>
          <w:b w:val="0"/>
          <w:bCs w:val="0"/>
          <w:color w:val="000000"/>
          <w:sz w:val="18"/>
          <w:szCs w:val="18"/>
          <w:highlight w:val="yellow"/>
          <w:lang w:eastAsia="zh-CN"/>
        </w:rPr>
        <w:t>（</w:t>
      </w:r>
      <w:r>
        <w:rPr>
          <w:b w:val="0"/>
          <w:bCs w:val="0"/>
          <w:color w:val="000000"/>
          <w:sz w:val="18"/>
          <w:szCs w:val="18"/>
          <w:highlight w:val="yellow"/>
        </w:rPr>
        <w:t>轮廓系数：对于一个样本集合，它的轮廓系数是所有样本轮廓系数的平均值。轮廓系数的取值范围是[-1,1]，同类别样本距离越相近不同类别样本距离越远，分数越高，聚类效果越好。</w:t>
      </w:r>
      <w:r>
        <w:rPr>
          <w:b w:val="0"/>
          <w:bCs w:val="0"/>
          <w:color w:val="000000"/>
          <w:sz w:val="18"/>
          <w:szCs w:val="18"/>
          <w:highlight w:val="yellow"/>
        </w:rPr>
        <w:br w:type="textWrapping"/>
      </w:r>
      <w:r>
        <w:rPr>
          <w:b w:val="0"/>
          <w:bCs w:val="0"/>
          <w:color w:val="000000"/>
          <w:sz w:val="18"/>
          <w:szCs w:val="18"/>
          <w:highlight w:val="yellow"/>
        </w:rPr>
        <w:t>DBI（Davies-bouldin)：该指标用来衡量任意两个簇的簇内距离之后与簇间距离之比。该指标越小表示聚类效果越好。</w:t>
      </w:r>
      <w:r>
        <w:rPr>
          <w:b w:val="0"/>
          <w:bCs w:val="0"/>
          <w:color w:val="000000"/>
          <w:sz w:val="18"/>
          <w:szCs w:val="18"/>
          <w:highlight w:val="yellow"/>
        </w:rPr>
        <w:br w:type="textWrapping"/>
      </w:r>
      <w:r>
        <w:rPr>
          <w:b w:val="0"/>
          <w:bCs w:val="0"/>
          <w:color w:val="000000"/>
          <w:sz w:val="18"/>
          <w:szCs w:val="18"/>
          <w:highlight w:val="yellow"/>
        </w:rPr>
        <w:t>CH(Calinski-Harbasz Score)：通过计算类内各点与类中心的距离平方和来度量类内的紧密度（分母），通过计算类间中心点与数据集中心点距离平方和来度量数据集的分离度（分子），CH指标由分离度与紧密度的比值得到，CH越大表示聚类效果越好。</w:t>
      </w:r>
      <w:r>
        <w:rPr>
          <w:rFonts w:hint="eastAsia"/>
          <w:b w:val="0"/>
          <w:bCs w:val="0"/>
          <w:color w:val="000000"/>
          <w:sz w:val="18"/>
          <w:szCs w:val="18"/>
          <w:highlight w:val="yellow"/>
          <w:lang w:eastAsia="zh-CN"/>
        </w:rPr>
        <w:t>）</w:t>
      </w:r>
      <w:r>
        <w:rPr>
          <w:rFonts w:hint="eastAsia"/>
          <w:b w:val="0"/>
          <w:bCs w:val="0"/>
          <w:color w:val="C00000"/>
          <w:sz w:val="18"/>
          <w:szCs w:val="18"/>
          <w:highlight w:val="yellow"/>
          <w:lang w:val="en-US" w:eastAsia="zh-CN"/>
        </w:rPr>
        <w:t>(标成3个下标)</w:t>
      </w:r>
    </w:p>
    <w:p w14:paraId="61B520F7">
      <w:pPr>
        <w:widowControl/>
        <w:spacing w:before="0" w:after="100"/>
        <w:ind w:right="720"/>
        <w:jc w:val="left"/>
        <w:rPr>
          <w:rFonts w:hint="eastAsia"/>
          <w:b w:val="0"/>
          <w:bCs w:val="0"/>
          <w:color w:val="C00000"/>
          <w:sz w:val="18"/>
          <w:szCs w:val="18"/>
          <w:highlight w:val="yellow"/>
          <w:lang w:val="en-US" w:eastAsia="zh-CN"/>
        </w:rPr>
      </w:pPr>
    </w:p>
    <w:p w14:paraId="4DACC237">
      <w:pPr>
        <w:widowControl/>
        <w:numPr>
          <w:ilvl w:val="0"/>
          <w:numId w:val="1"/>
        </w:numPr>
        <w:spacing w:before="0" w:after="100"/>
        <w:ind w:left="280" w:leftChars="0" w:right="720" w:firstLine="0" w:firstLineChars="0"/>
        <w:jc w:val="left"/>
        <w:rPr>
          <w:rFonts w:hint="default"/>
          <w:b/>
          <w:bCs/>
          <w:color w:val="000000"/>
          <w:sz w:val="18"/>
          <w:szCs w:val="18"/>
          <w:lang w:val="en-US" w:eastAsia="zh-CN"/>
        </w:rPr>
      </w:pPr>
      <w:r>
        <w:rPr>
          <w:rFonts w:hint="eastAsia"/>
          <w:b/>
          <w:bCs/>
          <w:color w:val="000000"/>
          <w:sz w:val="18"/>
          <w:szCs w:val="18"/>
          <w:lang w:val="en-US" w:eastAsia="zh-CN"/>
        </w:rPr>
        <w:t>NIPT时点计算</w:t>
      </w:r>
    </w:p>
    <w:p w14:paraId="23CD2788">
      <w:pPr>
        <w:widowControl/>
        <w:spacing w:before="0" w:after="100"/>
        <w:ind w:right="720" w:firstLine="360" w:firstLineChars="200"/>
        <w:jc w:val="left"/>
        <w:rPr>
          <w:b w:val="0"/>
          <w:bCs w:val="0"/>
          <w:color w:val="000000"/>
          <w:sz w:val="18"/>
          <w:szCs w:val="18"/>
        </w:rPr>
      </w:pPr>
    </w:p>
    <w:p w14:paraId="1B205CF4">
      <w:pPr>
        <w:widowControl/>
        <w:spacing w:before="0" w:after="100"/>
        <w:ind w:right="720" w:firstLine="360" w:firstLineChars="200"/>
        <w:jc w:val="left"/>
        <w:rPr>
          <w:b w:val="0"/>
          <w:bCs w:val="0"/>
          <w:color w:val="000000"/>
          <w:sz w:val="18"/>
          <w:szCs w:val="18"/>
        </w:rPr>
      </w:pPr>
    </w:p>
    <w:p w14:paraId="10869284">
      <w:pPr>
        <w:widowControl/>
        <w:spacing w:before="0" w:after="100"/>
        <w:ind w:left="720" w:right="720"/>
        <w:jc w:val="left"/>
        <w:rPr>
          <w:rFonts w:ascii="Calibri" w:hAnsi="Calibri" w:cs="Times New Roman"/>
          <w:kern w:val="0"/>
          <w:sz w:val="21"/>
          <w:szCs w:val="22"/>
          <w:lang/>
        </w:rPr>
      </w:pPr>
      <w:r>
        <w:rPr>
          <w:rFonts w:ascii="Calibri" w:hAnsi="Calibri" w:cs="Times New Roman"/>
          <w:b/>
          <w:bCs/>
          <w:color w:val="000000"/>
          <w:kern w:val="0"/>
          <w:sz w:val="20"/>
          <w:szCs w:val="20"/>
          <w:lang/>
        </w:rPr>
        <w:br w:type="textWrapping"/>
      </w:r>
    </w:p>
    <w:p w14:paraId="528540FE">
      <w:pPr>
        <w:widowControl/>
        <w:spacing w:before="300"/>
        <w:ind w:left="720" w:right="720"/>
        <w:rPr>
          <w:rFonts w:ascii="Calibri" w:hAnsi="Calibri" w:eastAsia="宋体" w:cs="Times New Roman"/>
          <w:b/>
          <w:bCs/>
          <w:color w:val="0000FF"/>
          <w:sz w:val="18"/>
          <w:szCs w:val="18"/>
        </w:rPr>
      </w:pPr>
    </w:p>
    <w:p w14:paraId="3543E357">
      <w:pPr>
        <w:widowControl/>
        <w:spacing w:before="300"/>
        <w:ind w:left="720" w:right="720"/>
        <w:rPr>
          <w:rFonts w:ascii="Calibri" w:hAnsi="Calibri" w:eastAsia="宋体" w:cs="Times New Roman"/>
          <w:b/>
          <w:bCs/>
          <w:color w:val="0000FF"/>
          <w:sz w:val="18"/>
          <w:szCs w:val="18"/>
        </w:rPr>
      </w:pPr>
      <w:r>
        <w:rPr>
          <w:rFonts w:ascii="Calibri" w:hAnsi="Calibri" w:eastAsia="宋体" w:cs="Times New Roman"/>
          <w:b/>
          <w:bCs/>
          <w:color w:val="0000FF"/>
          <w:sz w:val="18"/>
          <w:szCs w:val="18"/>
        </w:rPr>
        <w:t>参考文献</w:t>
      </w:r>
      <w:r>
        <w:rPr>
          <w:rFonts w:ascii="Calibri" w:hAnsi="Calibri" w:eastAsia="宋体" w:cs="Times New Roman"/>
          <w:b w:val="0"/>
          <w:bCs w:val="0"/>
          <w:color w:val="0000FF"/>
          <w:sz w:val="18"/>
          <w:szCs w:val="18"/>
        </w:rPr>
        <w:br w:type="textWrapping"/>
      </w:r>
      <w:r>
        <w:rPr>
          <w:rFonts w:ascii="Calibri" w:hAnsi="Calibri" w:eastAsia="宋体" w:cs="Times New Roman"/>
          <w:b w:val="0"/>
          <w:bCs w:val="0"/>
          <w:color w:val="0000FF"/>
          <w:sz w:val="18"/>
          <w:szCs w:val="18"/>
        </w:rPr>
        <w:t>[1] Scientific Platform Serving for Statistics Professional 2021. SPSSPRO. (Version 1.0.11)[Online Application Software]. Retrieved from https://www.spsspro.com.</w:t>
      </w:r>
      <w:r>
        <w:rPr>
          <w:rFonts w:ascii="Calibri" w:hAnsi="Calibri" w:eastAsia="宋体" w:cs="Times New Roman"/>
          <w:b w:val="0"/>
          <w:bCs w:val="0"/>
          <w:color w:val="0000FF"/>
          <w:sz w:val="18"/>
          <w:szCs w:val="18"/>
        </w:rPr>
        <w:br w:type="textWrapping"/>
      </w:r>
      <w:r>
        <w:rPr>
          <w:rFonts w:ascii="Calibri" w:hAnsi="Calibri" w:eastAsia="宋体" w:cs="Times New Roman"/>
          <w:b w:val="0"/>
          <w:bCs w:val="0"/>
          <w:color w:val="0000FF"/>
          <w:sz w:val="18"/>
          <w:szCs w:val="18"/>
        </w:rPr>
        <w:t>[2] Saroj,Kavita.Review:study on simple k mean and modified K mean clustering technique[J].International Journal of Computer Science Engineering and Technology,2016,6(7)：279-281.</w:t>
      </w:r>
    </w:p>
    <w:p w14:paraId="0A0A44E7">
      <w:pPr>
        <w:ind w:firstLine="360" w:firstLineChars="200"/>
        <w:rPr>
          <w:rFonts w:hint="default" w:ascii="宋体" w:hAnsi="宋体" w:cs="宋体"/>
          <w:sz w:val="18"/>
          <w:szCs w:val="18"/>
          <w:lang w:val="en-US" w:eastAsia="zh-CN"/>
        </w:rPr>
      </w:pPr>
    </w:p>
    <w:p w14:paraId="487A6347">
      <w:pPr>
        <w:ind w:firstLine="360" w:firstLineChars="200"/>
        <w:rPr>
          <w:rFonts w:hint="default" w:ascii="宋体" w:hAnsi="宋体" w:cs="宋体"/>
          <w:sz w:val="18"/>
          <w:szCs w:val="18"/>
          <w:lang w:val="en-US" w:eastAsia="zh-CN"/>
        </w:rPr>
      </w:pPr>
      <w:r>
        <w:rPr>
          <w:rFonts w:hint="eastAsia" w:ascii="宋体" w:hAnsi="宋体" w:cs="宋体"/>
          <w:sz w:val="18"/>
          <w:szCs w:val="18"/>
          <w:lang w:val="en-US" w:eastAsia="zh-CN"/>
        </w:rPr>
        <w:t>接着我们进行每组的最佳 NIPT 时点的计算。</w:t>
      </w:r>
    </w:p>
    <w:p w14:paraId="330373D5">
      <w:pPr>
        <w:ind w:firstLine="360" w:firstLineChars="200"/>
        <w:rPr>
          <w:rFonts w:hint="default" w:ascii="宋体" w:hAnsi="宋体" w:cs="宋体"/>
          <w:sz w:val="18"/>
          <w:szCs w:val="18"/>
          <w:lang w:val="en-US" w:eastAsia="zh-CN"/>
        </w:rPr>
      </w:pPr>
    </w:p>
    <w:p w14:paraId="41D9CE5D">
      <w:pPr>
        <w:rPr>
          <w:rFonts w:hint="default" w:ascii="宋体" w:hAnsi="宋体" w:cs="宋体"/>
          <w:sz w:val="24"/>
          <w:szCs w:val="24"/>
          <w:lang w:val="en-US" w:eastAsia="zh-CN"/>
        </w:rPr>
      </w:pPr>
    </w:p>
    <w:p w14:paraId="31E2344C">
      <w:pPr>
        <w:rPr>
          <w:rFonts w:hint="default" w:ascii="宋体" w:hAnsi="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scadia Mono">
    <w:panose1 w:val="020B0609020000020004"/>
    <w:charset w:val="00"/>
    <w:family w:val="auto"/>
    <w:pitch w:val="default"/>
    <w:sig w:usb0="A1002AFF" w:usb1="C200F9FB" w:usb2="00040020" w:usb3="00000000" w:csb0="6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A92744"/>
    <w:multiLevelType w:val="singleLevel"/>
    <w:tmpl w:val="30A92744"/>
    <w:lvl w:ilvl="0" w:tentative="0">
      <w:start w:val="1"/>
      <w:numFmt w:val="decimal"/>
      <w:suff w:val="space"/>
      <w:lvlText w:val="%1."/>
      <w:lvlJc w:val="left"/>
      <w:pPr>
        <w:ind w:left="2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272067"/>
    <w:rsid w:val="18C43019"/>
    <w:rsid w:val="19202945"/>
    <w:rsid w:val="1D305121"/>
    <w:rsid w:val="284657F9"/>
    <w:rsid w:val="28724C6B"/>
    <w:rsid w:val="2C6E3570"/>
    <w:rsid w:val="2F5A0C96"/>
    <w:rsid w:val="2F740E9D"/>
    <w:rsid w:val="49C36851"/>
    <w:rsid w:val="59053EC4"/>
    <w:rsid w:val="6D7777CF"/>
    <w:rsid w:val="6F272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8"/>
      <w:szCs w:val="24"/>
      <w:lang w:val="en-US" w:eastAsia="zh-CN" w:bidi="ar-SA"/>
    </w:rPr>
  </w:style>
  <w:style w:type="paragraph" w:styleId="2">
    <w:name w:val="heading 3"/>
    <w:next w:val="1"/>
    <w:qFormat/>
    <w:uiPriority w:val="0"/>
    <w:pPr>
      <w:spacing w:before="300"/>
      <w:ind w:left="720" w:right="720"/>
    </w:pPr>
    <w:rPr>
      <w:rFonts w:asciiTheme="minorHAnsi" w:hAnsiTheme="minorHAnsi" w:eastAsiaTheme="minorEastAsia" w:cstheme="minorBidi"/>
      <w:b/>
      <w:bCs/>
      <w:color w:val="000000"/>
      <w:sz w:val="24"/>
      <w:szCs w:val="24"/>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43</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2025-09-05T05:56:00Z</dcterms:created>
  <dc:creator>Ql</dc:creator>
  <cp:lastModifiedBy>Ql</cp:lastModifiedBy>
  <dcterms:modified xsi:type="dcterms:W3CDTF">2025-09-05T10:08:08Z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69519A7B7EBA4406A21B431E3AEBC40B_11</vt:lpwstr>
  </property>
  <property fmtid="{D5CDD505-2E9C-101B-9397-08002B2CF9AE}" pid="4" name="KSOTemplateDocerSaveRecord">
    <vt:lpwstr>eyJoZGlkIjoiMzkyNGEyNmEzZWQ4YjVhZTU0ODBmNDM1NjdjY2FlZDYiLCJ1c2VySWQiOiIxNjE3NTE5NjA4In0=</vt:lpwstr>
  </property>
</Properties>
</file>