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00" w:rsidRDefault="00CA02E6">
      <w:pPr>
        <w:pStyle w:val="3"/>
        <w:tabs>
          <w:tab w:val="left" w:pos="7560"/>
        </w:tabs>
        <w:spacing w:before="0" w:line="415" w:lineRule="auto"/>
        <w:rPr>
          <w:sz w:val="44"/>
          <w:szCs w:val="44"/>
        </w:rPr>
      </w:pPr>
      <w:r>
        <w:rPr>
          <w:noProof/>
          <w:sz w:val="48"/>
          <w:szCs w:val="48"/>
        </w:rPr>
        <w:drawing>
          <wp:inline distT="0" distB="0" distL="0" distR="0">
            <wp:extent cx="1937900" cy="48629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dex_r2_c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00" cy="486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</w:t>
      </w:r>
    </w:p>
    <w:p w:rsidR="00510400" w:rsidRDefault="00CA02E6">
      <w:pPr>
        <w:pStyle w:val="3"/>
        <w:tabs>
          <w:tab w:val="left" w:pos="7560"/>
        </w:tabs>
        <w:spacing w:before="0" w:line="415" w:lineRule="auto"/>
        <w:jc w:val="center"/>
        <w:rPr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  <w:lang w:val="zh-TW" w:eastAsia="zh-TW"/>
        </w:rPr>
        <w:t>图 书 选 题</w:t>
      </w:r>
      <w:r>
        <w:rPr>
          <w:sz w:val="44"/>
          <w:szCs w:val="44"/>
        </w:rPr>
        <w:t xml:space="preserve"> 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情 况 表</w:t>
      </w:r>
      <w:r>
        <w:rPr>
          <w:rFonts w:ascii="宋体" w:eastAsia="宋体" w:hAnsi="宋体" w:cs="宋体"/>
          <w:b w:val="0"/>
          <w:bCs w:val="0"/>
          <w:sz w:val="24"/>
          <w:szCs w:val="24"/>
          <w:lang w:val="zh-TW" w:eastAsia="zh-TW"/>
        </w:rPr>
        <w:t>（内版）</w:t>
      </w:r>
    </w:p>
    <w:tbl>
      <w:tblPr>
        <w:tblStyle w:val="TableNormal"/>
        <w:tblW w:w="9632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1"/>
        <w:gridCol w:w="408"/>
        <w:gridCol w:w="759"/>
        <w:gridCol w:w="349"/>
        <w:gridCol w:w="918"/>
        <w:gridCol w:w="327"/>
        <w:gridCol w:w="168"/>
        <w:gridCol w:w="350"/>
        <w:gridCol w:w="814"/>
        <w:gridCol w:w="160"/>
        <w:gridCol w:w="158"/>
        <w:gridCol w:w="482"/>
        <w:gridCol w:w="536"/>
        <w:gridCol w:w="158"/>
        <w:gridCol w:w="291"/>
        <w:gridCol w:w="159"/>
        <w:gridCol w:w="443"/>
        <w:gridCol w:w="265"/>
        <w:gridCol w:w="457"/>
        <w:gridCol w:w="341"/>
        <w:gridCol w:w="158"/>
        <w:gridCol w:w="1410"/>
      </w:tblGrid>
      <w:tr w:rsidR="00510400">
        <w:trPr>
          <w:trHeight w:val="367"/>
          <w:jc w:val="center"/>
        </w:trPr>
        <w:tc>
          <w:tcPr>
            <w:tcW w:w="9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　名</w:t>
            </w:r>
          </w:p>
        </w:tc>
        <w:tc>
          <w:tcPr>
            <w:tcW w:w="8703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Pr="006B75EC" w:rsidRDefault="001239D6">
            <w:pPr>
              <w:rPr>
                <w:sz w:val="18"/>
                <w:szCs w:val="18"/>
                <w:lang w:eastAsia="zh-CN"/>
              </w:rPr>
            </w:pPr>
            <w:r w:rsidRPr="006B75EC">
              <w:rPr>
                <w:rFonts w:hint="eastAsia"/>
                <w:sz w:val="18"/>
                <w:szCs w:val="18"/>
                <w:lang w:eastAsia="zh-CN"/>
              </w:rPr>
              <w:t>神经网络与深度学习</w:t>
            </w:r>
          </w:p>
        </w:tc>
      </w:tr>
      <w:tr w:rsidR="00510400">
        <w:trPr>
          <w:trHeight w:val="275"/>
          <w:jc w:val="center"/>
        </w:trPr>
        <w:tc>
          <w:tcPr>
            <w:tcW w:w="92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作　者</w:t>
            </w:r>
          </w:p>
        </w:tc>
        <w:tc>
          <w:tcPr>
            <w:tcW w:w="3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Pr="006B75EC" w:rsidRDefault="006B75EC">
            <w:pPr>
              <w:rPr>
                <w:sz w:val="18"/>
                <w:szCs w:val="18"/>
                <w:lang w:eastAsia="zh-CN"/>
              </w:rPr>
            </w:pPr>
            <w:r w:rsidRPr="006B75EC">
              <w:rPr>
                <w:rFonts w:hint="eastAsia"/>
                <w:sz w:val="18"/>
                <w:szCs w:val="18"/>
                <w:lang w:eastAsia="zh-CN"/>
              </w:rPr>
              <w:t>张觉非</w:t>
            </w:r>
          </w:p>
        </w:tc>
        <w:tc>
          <w:tcPr>
            <w:tcW w:w="22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估计篇幅和字数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6B75EC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>250</w:t>
            </w:r>
            <w:r w:rsidR="00CA02E6"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   页  </w:t>
            </w:r>
            <w:r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>400</w:t>
            </w:r>
            <w:r w:rsidR="00CA02E6">
              <w:rPr>
                <w:sz w:val="18"/>
                <w:szCs w:val="18"/>
              </w:rPr>
              <w:t xml:space="preserve">    </w:t>
            </w:r>
            <w:r w:rsidR="00CA02E6"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  千字</w:t>
            </w:r>
          </w:p>
        </w:tc>
      </w:tr>
      <w:tr w:rsidR="00510400">
        <w:trPr>
          <w:trHeight w:val="270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稿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情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况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目前进展</w:t>
            </w:r>
          </w:p>
        </w:tc>
        <w:tc>
          <w:tcPr>
            <w:tcW w:w="4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 w:rsidP="006B75EC">
            <w:pPr>
              <w:pStyle w:val="A0"/>
              <w:ind w:firstLine="180"/>
            </w:pP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成稿　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部分章节　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初步提纲或初步设想</w:t>
            </w:r>
            <w:r w:rsidR="006B75EC"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黑体" w:hAnsi="Cambria Math" w:cs="黑体"/>
                  <w:sz w:val="18"/>
                  <w:szCs w:val="18"/>
                  <w:lang w:val="zh-TW"/>
                </w:rPr>
                <m:t>√</m:t>
              </m:r>
            </m:oMath>
          </w:p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ind w:firstLine="180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本书配套资源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Pr="006B75EC" w:rsidRDefault="006B75EC">
            <w:pPr>
              <w:rPr>
                <w:sz w:val="18"/>
                <w:szCs w:val="18"/>
                <w:lang w:eastAsia="zh-CN"/>
              </w:rPr>
            </w:pPr>
            <w:r w:rsidRPr="006B75EC">
              <w:rPr>
                <w:sz w:val="18"/>
                <w:szCs w:val="18"/>
                <w:lang w:eastAsia="zh-CN"/>
              </w:rPr>
              <w:t>G</w:t>
            </w:r>
            <w:r w:rsidRPr="006B75EC">
              <w:rPr>
                <w:rFonts w:hint="eastAsia"/>
                <w:sz w:val="18"/>
                <w:szCs w:val="18"/>
                <w:lang w:eastAsia="zh-CN"/>
              </w:rPr>
              <w:t xml:space="preserve">ithub </w:t>
            </w:r>
            <w:r w:rsidRPr="006B75EC">
              <w:rPr>
                <w:rFonts w:hint="eastAsia"/>
                <w:sz w:val="18"/>
                <w:szCs w:val="18"/>
                <w:lang w:eastAsia="zh-CN"/>
              </w:rPr>
              <w:t>代码库</w:t>
            </w:r>
          </w:p>
        </w:tc>
      </w:tr>
      <w:tr w:rsidR="00510400">
        <w:trPr>
          <w:trHeight w:val="335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附　件</w:t>
            </w:r>
          </w:p>
        </w:tc>
        <w:tc>
          <w:tcPr>
            <w:tcW w:w="4521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提纲   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 </w:t>
            </w:r>
            <w:r w:rsidR="006B75EC">
              <w:rPr>
                <w:rFonts w:ascii="黑体" w:eastAsia="黑体" w:hAnsi="黑体" w:cs="黑体" w:hint="eastAsia"/>
                <w:sz w:val="18"/>
                <w:szCs w:val="18"/>
                <w:u w:val="single"/>
                <w:lang w:val="zh-TW"/>
              </w:rPr>
              <w:t>2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       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页</w:t>
            </w:r>
          </w:p>
          <w:p w:rsidR="00510400" w:rsidRDefault="00CA02E6">
            <w:pPr>
              <w:pStyle w:val="A0"/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样章　 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章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页</w:t>
            </w:r>
          </w:p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预计</w:t>
            </w:r>
            <w:r>
              <w:rPr>
                <w:rFonts w:ascii="黑体" w:eastAsia="黑体" w:hAnsi="黑体" w:cs="黑体"/>
                <w:sz w:val="18"/>
                <w:szCs w:val="18"/>
                <w:em w:val="underDot"/>
                <w:lang w:val="zh-TW" w:eastAsia="zh-TW"/>
              </w:rPr>
              <w:t>交稿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时间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Pr="006B75EC" w:rsidRDefault="006B75EC">
            <w:pPr>
              <w:rPr>
                <w:sz w:val="15"/>
                <w:szCs w:val="15"/>
                <w:lang w:eastAsia="zh-CN"/>
              </w:rPr>
            </w:pPr>
            <w:r w:rsidRPr="006B75EC">
              <w:rPr>
                <w:rFonts w:hint="eastAsia"/>
                <w:sz w:val="15"/>
                <w:szCs w:val="15"/>
                <w:lang w:eastAsia="zh-CN"/>
              </w:rPr>
              <w:t>2018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年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12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月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31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日</w:t>
            </w:r>
          </w:p>
        </w:tc>
      </w:tr>
      <w:tr w:rsidR="00510400">
        <w:trPr>
          <w:trHeight w:val="27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4521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期望出版时间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Pr="006B75EC" w:rsidRDefault="006B75EC">
            <w:pPr>
              <w:rPr>
                <w:sz w:val="15"/>
                <w:szCs w:val="15"/>
                <w:lang w:eastAsia="zh-CN"/>
              </w:rPr>
            </w:pP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2019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年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 3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月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 1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日</w:t>
            </w:r>
          </w:p>
        </w:tc>
      </w:tr>
      <w:tr w:rsidR="00510400">
        <w:trPr>
          <w:trHeight w:val="121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技术深度</w:t>
            </w:r>
          </w:p>
        </w:tc>
        <w:tc>
          <w:tcPr>
            <w:tcW w:w="40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高级（专业）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zh-TW" w:eastAsia="zh-TW"/>
                </w:rPr>
                <m:t>√</m:t>
              </m:r>
            </m:oMath>
          </w:p>
          <w:p w:rsidR="00510400" w:rsidRDefault="00CA02E6">
            <w:pPr>
              <w:pStyle w:val="A0"/>
              <w:spacing w:line="12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中级（应用）</w:t>
            </w:r>
          </w:p>
          <w:p w:rsidR="00510400" w:rsidRDefault="00CA02E6">
            <w:pPr>
              <w:pStyle w:val="A0"/>
              <w:spacing w:line="120" w:lineRule="atLeast"/>
              <w:jc w:val="left"/>
            </w:pPr>
            <w:r>
              <w:rPr>
                <w:sz w:val="18"/>
                <w:szCs w:val="18"/>
              </w:rPr>
              <w:t>□</w:t>
            </w: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初级（基础）</w:t>
            </w:r>
          </w:p>
        </w:tc>
        <w:tc>
          <w:tcPr>
            <w:tcW w:w="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spacing w:line="120" w:lineRule="atLeast"/>
              <w:jc w:val="left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TW" w:eastAsia="zh-TW"/>
              </w:rPr>
              <w:t>类　　别</w:t>
            </w:r>
          </w:p>
        </w:tc>
        <w:tc>
          <w:tcPr>
            <w:tcW w:w="4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数据库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交互设计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软件开发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</w:p>
          <w:p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操作系统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>
              <w:rPr>
                <w:rFonts w:ascii="Arial Unicode MS" w:hAnsi="Arial Unicode MS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人文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网络营销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</w:p>
          <w:p w:rsidR="00510400" w:rsidRDefault="00CA02E6" w:rsidP="006B75EC">
            <w:pPr>
              <w:pStyle w:val="A0"/>
              <w:spacing w:line="120" w:lineRule="atLeast"/>
              <w:jc w:val="left"/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网络技术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 w:rsidRPr="006B75EC">
              <w:rPr>
                <w:sz w:val="18"/>
                <w:szCs w:val="18"/>
              </w:rPr>
              <w:t xml:space="preserve"> </w:t>
            </w:r>
            <w:r w:rsidR="006B75EC" w:rsidRPr="006B75EC">
              <w:rPr>
                <w:rFonts w:hint="eastAsia"/>
                <w:sz w:val="18"/>
                <w:szCs w:val="18"/>
              </w:rPr>
              <w:t>机器学习</w:t>
            </w:r>
            <w:r w:rsidR="006B75EC" w:rsidRPr="006B75EC">
              <w:rPr>
                <w:rFonts w:hint="eastAsia"/>
                <w:sz w:val="18"/>
                <w:szCs w:val="18"/>
              </w:rPr>
              <w:t>/</w:t>
            </w:r>
            <w:r w:rsidR="006B75EC" w:rsidRPr="006B75EC">
              <w:rPr>
                <w:rFonts w:hint="eastAsia"/>
                <w:sz w:val="18"/>
                <w:szCs w:val="18"/>
              </w:rPr>
              <w:t>人工智能</w:t>
            </w:r>
            <w:r w:rsidRPr="006B75EC">
              <w:rPr>
                <w:sz w:val="18"/>
                <w:szCs w:val="18"/>
              </w:rPr>
              <w:t xml:space="preserve"> </w:t>
            </w:r>
            <w:r w:rsidR="006B75EC" w:rsidRPr="006B75EC">
              <w:rPr>
                <w:rFonts w:hint="eastAsia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√</m:t>
              </m:r>
            </m:oMath>
            <w:r w:rsidRPr="006B75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   </w:t>
            </w:r>
          </w:p>
        </w:tc>
      </w:tr>
      <w:tr w:rsidR="00510400">
        <w:trPr>
          <w:trHeight w:val="112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选题思路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（简要阐述为什么提出此选题。本书涉及专业发展情况，相关图书出版概况，本书特点及新颖独到之处，包括学术思想、内容范围、结构体系、写作特色等，用条目形式列举。）</w:t>
            </w:r>
          </w:p>
          <w:p w:rsidR="00510400" w:rsidRDefault="00510400">
            <w:pPr>
              <w:pStyle w:val="A0"/>
              <w:widowControl/>
              <w:jc w:val="left"/>
            </w:pPr>
          </w:p>
          <w:p w:rsidR="003C6F8A" w:rsidRPr="006A04EA" w:rsidRDefault="00842A3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神经网络与深度学习是目前热门</w:t>
            </w:r>
            <w:r w:rsidR="006B75EC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的领域。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产业界对于深度学习工程师的需求量</w:t>
            </w:r>
            <w:r w:rsidR="008109FD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与日俱增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。但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由于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该领域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具有较高的数学门槛，导致专业人才较稀缺。</w:t>
            </w:r>
          </w:p>
          <w:p w:rsidR="003C6F8A" w:rsidRPr="006A04EA" w:rsidRDefault="003C6F8A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6B75EC" w:rsidRPr="006A04EA" w:rsidRDefault="00842A3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开源工具的发展和普及使得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软件工程师们可以快速上手深度学习建模工作。但是对原理理解的不足导致建模过程无章可循，效率和效果得不到保障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842A3B" w:rsidRPr="006A04EA" w:rsidRDefault="00842A3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42A3B" w:rsidRPr="006A04EA" w:rsidRDefault="00842A3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市面上现有的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深度学习书籍多是侧重开源工具（例如 tensorflow）的使用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，于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原理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介绍较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为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笼统</w:t>
            </w:r>
            <w:r w:rsidR="00997AD7">
              <w:rPr>
                <w:rFonts w:asciiTheme="minorEastAsia" w:eastAsiaTheme="minorEastAsia" w:hAnsiTheme="minorEastAsia" w:hint="eastAsia"/>
                <w:sz w:val="18"/>
                <w:szCs w:val="18"/>
              </w:rPr>
              <w:t>和肤浅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6A04EA" w:rsidRPr="006A04EA" w:rsidRDefault="006A04EA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6A04EA" w:rsidRPr="006A04EA" w:rsidRDefault="006A04EA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另外，目前在深度学习和传统机器学习中存在一个割裂。许多深度学习习练者们对传</w:t>
            </w:r>
            <w:r w:rsidR="00F260FE">
              <w:rPr>
                <w:rFonts w:asciiTheme="minorEastAsia" w:eastAsiaTheme="minorEastAsia" w:hAnsiTheme="minorEastAsia" w:hint="eastAsia"/>
                <w:sz w:val="18"/>
                <w:szCs w:val="18"/>
              </w:rPr>
              <w:t>统机器学习的概念，例如：模型评价、模型自由度与过拟合、正则化等概念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理解得不甚到位。</w:t>
            </w:r>
          </w:p>
          <w:p w:rsidR="006A04EA" w:rsidRPr="006A04EA" w:rsidRDefault="006A04EA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B54EDB" w:rsidRPr="00B54EDB" w:rsidRDefault="00842A3B" w:rsidP="006A04EA">
            <w:pPr>
              <w:pStyle w:val="A0"/>
              <w:widowControl/>
              <w:jc w:val="left"/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本书的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主干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思路是：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打开黑盒，相信学生和工程师们的热忱的探究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心，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将深度学习的数学原理讲透彻。同时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本书力求打通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传统机器学习和深度学习之间的鸿沟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，揭示水面以下将一个个认知孤岛连在一起的理论基岩。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将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以一个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实例（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猫狗图片分类问题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贯穿始终，提供</w:t>
            </w:r>
            <w:r w:rsidR="00AA213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T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ensorFlow </w:t>
            </w:r>
            <w:r w:rsidR="00766849">
              <w:rPr>
                <w:rFonts w:asciiTheme="minorEastAsia" w:eastAsiaTheme="minorEastAsia" w:hAnsiTheme="minorEastAsia" w:hint="eastAsia"/>
                <w:sz w:val="18"/>
                <w:szCs w:val="18"/>
              </w:rPr>
              <w:t>编程指导，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逐步揭示深度学习的强大能力。</w:t>
            </w:r>
            <w:r w:rsidR="006A04EA" w:rsidRPr="00B54EDB">
              <w:t xml:space="preserve"> </w:t>
            </w:r>
          </w:p>
        </w:tc>
      </w:tr>
      <w:tr w:rsidR="00510400">
        <w:trPr>
          <w:trHeight w:val="110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内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容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摘</w:t>
            </w:r>
          </w:p>
          <w:p w:rsidR="00510400" w:rsidRDefault="00CA02E6">
            <w:pPr>
              <w:pStyle w:val="A0"/>
              <w:spacing w:line="240" w:lineRule="exact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要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（字数介于</w:t>
            </w:r>
            <w:r>
              <w:rPr>
                <w:rFonts w:ascii="Arial Unicode MS" w:hAnsi="Arial Unicode MS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字左右）</w:t>
            </w:r>
          </w:p>
          <w:p w:rsidR="00742C48" w:rsidRDefault="00742C48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:rsidR="00B54EDB" w:rsidRPr="00742C48" w:rsidRDefault="00B54ED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742C4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请见附件 “提纲” 。</w:t>
            </w:r>
          </w:p>
        </w:tc>
      </w:tr>
      <w:tr w:rsidR="00510400" w:rsidRPr="006647E8">
        <w:trPr>
          <w:trHeight w:val="1463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读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者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对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象</w:t>
            </w:r>
          </w:p>
          <w:p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:rsidR="00510400" w:rsidRDefault="00CA02E6">
            <w:pPr>
              <w:pStyle w:val="A0"/>
              <w:spacing w:line="240" w:lineRule="exact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（目标读者定位以及是否适合培训等）</w:t>
            </w:r>
          </w:p>
          <w:p w:rsidR="006647E8" w:rsidRDefault="006647E8" w:rsidP="006647E8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6647E8" w:rsidRPr="00700895" w:rsidRDefault="007C5186" w:rsidP="006647E8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由于深度学习的火热，学院里</w:t>
            </w:r>
            <w:r w:rsidR="006647E8">
              <w:rPr>
                <w:rFonts w:asciiTheme="minorEastAsia" w:eastAsiaTheme="minorEastAsia" w:hAnsiTheme="minorEastAsia" w:hint="eastAsia"/>
                <w:sz w:val="18"/>
                <w:szCs w:val="18"/>
              </w:rPr>
              <w:t>几乎全理工专业皆机器学习。业内的工程师也多有转向机器学习/</w:t>
            </w:r>
            <w:r w:rsidR="00031A81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深度学习方向。市面上讲授</w:t>
            </w:r>
            <w:r w:rsidR="006647E8"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 TensorFlow / Caffe 等开源工具进行建模的编程实践类书籍</w:t>
            </w:r>
            <w:r w:rsidR="00031A81">
              <w:rPr>
                <w:rFonts w:asciiTheme="minorEastAsia" w:eastAsiaTheme="minorEastAsia" w:hAnsiTheme="minorEastAsia" w:hint="eastAsia"/>
                <w:sz w:val="18"/>
                <w:szCs w:val="18"/>
              </w:rPr>
              <w:t>较多</w:t>
            </w:r>
            <w:r w:rsidR="00234D36">
              <w:rPr>
                <w:rFonts w:asciiTheme="minorEastAsia" w:eastAsiaTheme="minorEastAsia" w:hAnsiTheme="minorEastAsia" w:hint="eastAsia"/>
                <w:sz w:val="18"/>
                <w:szCs w:val="18"/>
              </w:rPr>
              <w:t>，但深度学习</w:t>
            </w:r>
            <w:r w:rsidR="006647E8">
              <w:rPr>
                <w:rFonts w:asciiTheme="minorEastAsia" w:eastAsiaTheme="minorEastAsia" w:hAnsiTheme="minorEastAsia" w:hint="eastAsia"/>
                <w:sz w:val="18"/>
                <w:szCs w:val="18"/>
              </w:rPr>
              <w:t>原理方面的书籍较少。作者认为广大学生/工程师有透彻理解神经网络/深度学习</w:t>
            </w:r>
            <w:r w:rsidR="002E1D14">
              <w:rPr>
                <w:rFonts w:asciiTheme="minorEastAsia" w:eastAsiaTheme="minorEastAsia" w:hAnsiTheme="minorEastAsia" w:hint="eastAsia"/>
                <w:sz w:val="18"/>
                <w:szCs w:val="18"/>
              </w:rPr>
              <w:t>原理的</w:t>
            </w:r>
            <w:r w:rsidR="006647E8">
              <w:rPr>
                <w:rFonts w:asciiTheme="minorEastAsia" w:eastAsiaTheme="minorEastAsia" w:hAnsiTheme="minorEastAsia" w:hint="eastAsia"/>
                <w:sz w:val="18"/>
                <w:szCs w:val="18"/>
              </w:rPr>
              <w:t>诉求。</w:t>
            </w:r>
          </w:p>
        </w:tc>
      </w:tr>
      <w:tr w:rsidR="00510400">
        <w:trPr>
          <w:trHeight w:val="1262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lastRenderedPageBreak/>
              <w:t>市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场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（技术动态、相关图书的市场状况等）</w:t>
            </w:r>
          </w:p>
          <w:p w:rsidR="001A0301" w:rsidRDefault="001A0301">
            <w:pPr>
              <w:pStyle w:val="A0"/>
              <w:rPr>
                <w:sz w:val="18"/>
                <w:szCs w:val="18"/>
                <w:lang w:val="zh-TW"/>
              </w:rPr>
            </w:pPr>
          </w:p>
          <w:p w:rsidR="00E02347" w:rsidRPr="001A0301" w:rsidRDefault="0088579C" w:rsidP="00E02347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深度学习</w:t>
            </w:r>
            <w:r w:rsid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方兴未艾。但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各大学院校还没形成成熟的机器学习/神经网络/</w:t>
            </w:r>
            <w:r w:rsidR="00415E4D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深度学习的教学课程体系。同时中国本科教育中的线性代数、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高等数学</w:t>
            </w:r>
            <w:r w:rsidR="00415E4D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和概率论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的教学片断化，</w:t>
            </w:r>
            <w:r w:rsidR="005A6ABD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导致学生</w:t>
            </w:r>
            <w:r w:rsidR="003310FF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只见树木，不见森林</w:t>
            </w:r>
            <w:r w:rsidR="00C260D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难以让学生形成连贯</w:t>
            </w:r>
            <w:r w:rsidR="00553AA6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、深刻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的理解</w:t>
            </w:r>
            <w:r w:rsidR="00553AA6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并联系到应用</w:t>
            </w:r>
            <w:r w:rsidR="003310FF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领域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  <w:r w:rsidR="00DF19B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本书不求见森林，但求于森</w:t>
            </w:r>
            <w:r w:rsidR="00097AE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林中</w:t>
            </w:r>
            <w:r w:rsidR="00DF19B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辟一条通向深度学习的小径，使读者既得窥森林全貌，又知道路将通向何方。</w:t>
            </w:r>
          </w:p>
          <w:p w:rsidR="0088579C" w:rsidRPr="001A0301" w:rsidRDefault="0088579C" w:rsidP="0088579C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:rsidR="0088579C" w:rsidRDefault="0088579C">
            <w:pPr>
              <w:pStyle w:val="A0"/>
              <w:rPr>
                <w:lang w:eastAsia="zh-TW"/>
              </w:rPr>
            </w:pPr>
          </w:p>
        </w:tc>
      </w:tr>
      <w:tr w:rsidR="00510400">
        <w:trPr>
          <w:trHeight w:val="1580"/>
          <w:jc w:val="center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本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卖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点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:rsidR="00510400" w:rsidRDefault="00CA02E6">
            <w:pPr>
              <w:pStyle w:val="A0"/>
              <w:spacing w:line="180" w:lineRule="atLeast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（例如：主要特点，作者知名度，区别于同类书的、能吸引读者的独特之处等）</w:t>
            </w:r>
          </w:p>
          <w:p w:rsidR="00834242" w:rsidRDefault="00834242">
            <w:pPr>
              <w:pStyle w:val="A0"/>
              <w:rPr>
                <w:sz w:val="18"/>
                <w:szCs w:val="18"/>
                <w:lang w:val="zh-TW"/>
              </w:rPr>
            </w:pPr>
          </w:p>
          <w:p w:rsidR="00700E7E" w:rsidRDefault="00700E7E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本书作者在知乎开办专栏“计算主义”，专注于机器学习数学原理的介绍。目前专栏获得 2400+ 关注。9 篇文章共获得 3000+ 收藏。文章得到新智元、机器之心等知名自媒体转载。</w:t>
            </w:r>
          </w:p>
          <w:p w:rsidR="00700E7E" w:rsidRDefault="00700E7E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:rsidR="00B54EDB" w:rsidRDefault="00700E7E" w:rsidP="00332FF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根据作者开设专栏</w:t>
            </w:r>
            <w:r w:rsidR="000C1AF6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收到的反馈，认为</w:t>
            </w:r>
            <w:r w:rsidR="008004C0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学生和工程师们渴望理解深度学习的原理，尤其欢迎</w:t>
            </w:r>
            <w:r w:rsidR="00381C6B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去除枝蔓</w:t>
            </w:r>
            <w:bookmarkStart w:id="0" w:name="_GoBack"/>
            <w:bookmarkEnd w:id="0"/>
            <w:r w:rsidR="00452B6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，直奔主干，但同时深度上不打折扣的学习材料</w:t>
            </w:r>
            <w:r w:rsidR="008004C0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</w:p>
          <w:p w:rsidR="00332FF0" w:rsidRDefault="00332FF0" w:rsidP="00332FF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:rsidR="00332FF0" w:rsidRDefault="00332FF0" w:rsidP="00726A65">
            <w:pPr>
              <w:pStyle w:val="A0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本书在原理</w:t>
            </w:r>
            <w:r w:rsidR="006B474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介绍上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由浅入深，环环相扣。对数学的介绍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经过精心设计，不偏离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主干又不失深度。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不求大而全，但</w:t>
            </w:r>
            <w:r w:rsidR="006B474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求顺而深。各章节组成有机连续的整体，顺畅地引领读者理解深度学习的核心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机理。</w:t>
            </w:r>
          </w:p>
        </w:tc>
      </w:tr>
      <w:tr w:rsidR="00510400">
        <w:trPr>
          <w:trHeight w:val="1489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同</w:t>
            </w:r>
          </w:p>
          <w:p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类</w:t>
            </w:r>
          </w:p>
          <w:p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书</w:t>
            </w:r>
          </w:p>
          <w:p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情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况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（列举作者、出版时间、出版社、</w:t>
            </w:r>
            <w:r>
              <w:rPr>
                <w:rFonts w:ascii="Arial Unicode MS" w:hAnsi="Arial Unicode MS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、定价、评价、与本书的比较等）</w:t>
            </w:r>
          </w:p>
          <w:p w:rsidR="001173F9" w:rsidRDefault="001173F9">
            <w:pPr>
              <w:pStyle w:val="A0"/>
              <w:rPr>
                <w:sz w:val="18"/>
                <w:szCs w:val="18"/>
              </w:rPr>
            </w:pPr>
          </w:p>
          <w:p w:rsidR="001173F9" w:rsidRPr="001E1BFA" w:rsidRDefault="001E1BFA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作者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所读过的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神经网络/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机器学习相关书籍（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其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特点以及本书可与之互补之处）</w:t>
            </w:r>
          </w:p>
          <w:p w:rsidR="001173F9" w:rsidRPr="001E1BFA" w:rsidRDefault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1173F9" w:rsidRDefault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1、《Tensorflow：实战Google深度学习框架》（郑泽宇，电子工业出版社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2017-2-10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9787121309595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，79 元</w:t>
            </w: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 本书注重介绍 TensorFlow </w:t>
            </w:r>
            <w:r w:rsid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编程，于原理介绍不足；</w:t>
            </w:r>
          </w:p>
          <w:p w:rsidR="00B007C0" w:rsidRDefault="00B007C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B007C0" w:rsidRDefault="00B007C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2、《</w:t>
            </w:r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TensorFlow实战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》（</w:t>
            </w:r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黄文坚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唐源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电子工业出版社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2017-2-1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9787121309120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，79 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）与 1 类似；</w:t>
            </w:r>
          </w:p>
          <w:p w:rsidR="001E1BFA" w:rsidRPr="001E1BFA" w:rsidRDefault="001E1BFA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1173F9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、《Scikit-Learn与TensorFlow机器学习实用指南（影印版）》（</w:t>
            </w:r>
            <w:r w:rsidR="001173F9" w:rsidRPr="001E1BFA">
              <w:rPr>
                <w:rFonts w:asciiTheme="minorEastAsia" w:eastAsiaTheme="minorEastAsia" w:hAnsiTheme="minorEastAsia"/>
                <w:sz w:val="18"/>
                <w:szCs w:val="18"/>
              </w:rPr>
              <w:t>Aurélien Géron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，东南大学出版社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9247A9" w:rsidRPr="009247A9">
              <w:rPr>
                <w:rFonts w:asciiTheme="minorEastAsia" w:eastAsiaTheme="minorEastAsia" w:hAnsiTheme="minorEastAsia"/>
                <w:sz w:val="18"/>
                <w:szCs w:val="18"/>
              </w:rPr>
              <w:t>2017-10-1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9247A9" w:rsidRPr="009247A9">
              <w:rPr>
                <w:rFonts w:asciiTheme="minorEastAsia" w:eastAsiaTheme="minorEastAsia" w:hAnsiTheme="minorEastAsia"/>
                <w:sz w:val="18"/>
                <w:szCs w:val="18"/>
              </w:rPr>
              <w:t>9787564173715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，98 元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 本书基于 scikit-learn 介绍传统机器学习，基于 TensorFlow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介绍深度学习。概念和原理介绍比较全面，但是深度上稍欠缺；</w:t>
            </w:r>
          </w:p>
          <w:p w:rsidR="001E1BFA" w:rsidRPr="001E1BFA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1173F9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《深度学习基础（影印版）》（Nikhil Buduma，东南大学出版社</w:t>
            </w:r>
            <w:r w:rsidR="00274F73">
              <w:rPr>
                <w:rFonts w:asciiTheme="minorEastAsia" w:eastAsiaTheme="minorEastAsia" w:hAnsiTheme="minorEastAsia" w:hint="eastAsia"/>
                <w:sz w:val="18"/>
                <w:szCs w:val="18"/>
              </w:rPr>
              <w:t>，2018-02,9787564175177</w:t>
            </w:r>
            <w:r w:rsidR="000D6A91">
              <w:rPr>
                <w:rFonts w:asciiTheme="minorEastAsia" w:eastAsiaTheme="minorEastAsia" w:hAnsiTheme="minorEastAsia" w:hint="eastAsia"/>
                <w:sz w:val="18"/>
                <w:szCs w:val="18"/>
              </w:rPr>
              <w:t>，80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），有点像 2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后半部分的简化版；</w:t>
            </w:r>
          </w:p>
          <w:p w:rsidR="001E1BFA" w:rsidRPr="00B007C0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38B3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、《深度学习（花书）》（</w:t>
            </w:r>
            <w:r w:rsidR="00771466">
              <w:rPr>
                <w:rFonts w:asciiTheme="minorEastAsia" w:eastAsiaTheme="minorEastAsia" w:hAnsiTheme="minorEastAsia" w:hint="eastAsia"/>
                <w:sz w:val="18"/>
                <w:szCs w:val="18"/>
              </w:rPr>
              <w:t>Ian Goodfellow</w:t>
            </w:r>
            <w:r w:rsidR="007E579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等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C338B3" w:rsidRPr="001E1BFA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人民邮电出版社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</w:t>
            </w:r>
            <w:r w:rsidR="003361FB" w:rsidRPr="003361FB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2017-7-1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</w:t>
            </w:r>
            <w:r w:rsidR="003361FB" w:rsidRPr="003361FB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9787115461476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，168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23231F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深度学习“圣经”，大而全。</w:t>
            </w:r>
            <w:r w:rsidR="00233D40">
              <w:rPr>
                <w:rFonts w:asciiTheme="minorEastAsia" w:eastAsiaTheme="minorEastAsia" w:hAnsiTheme="minorEastAsia" w:hint="eastAsia"/>
                <w:sz w:val="18"/>
                <w:szCs w:val="18"/>
              </w:rPr>
              <w:t>与之相较</w:t>
            </w:r>
            <w:r w:rsidR="00240FAC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本书力求争取在数学原理介绍上</w:t>
            </w:r>
            <w:r w:rsidR="000E6177">
              <w:rPr>
                <w:rFonts w:asciiTheme="minorEastAsia" w:eastAsiaTheme="minorEastAsia" w:hAnsiTheme="minorEastAsia" w:hint="eastAsia"/>
                <w:sz w:val="18"/>
                <w:szCs w:val="18"/>
              </w:rPr>
              <w:t>去除枝蔓</w:t>
            </w:r>
            <w:r w:rsidR="0039519A">
              <w:rPr>
                <w:rFonts w:asciiTheme="minorEastAsia" w:eastAsiaTheme="minorEastAsia" w:hAnsiTheme="minorEastAsia" w:hint="eastAsia"/>
                <w:sz w:val="18"/>
                <w:szCs w:val="18"/>
              </w:rPr>
              <w:t>，增加深度</w:t>
            </w:r>
            <w:r w:rsidR="00240FA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同时兼顾 TensorFlow </w:t>
            </w:r>
            <w:r w:rsidR="00C41A71">
              <w:rPr>
                <w:rFonts w:asciiTheme="minorEastAsia" w:eastAsiaTheme="minorEastAsia" w:hAnsiTheme="minorEastAsia" w:hint="eastAsia"/>
                <w:sz w:val="18"/>
                <w:szCs w:val="18"/>
              </w:rPr>
              <w:t>实践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用例</w:t>
            </w:r>
            <w:r w:rsidR="00EB5450">
              <w:rPr>
                <w:rFonts w:asciiTheme="minorEastAsia" w:eastAsiaTheme="minorEastAsia" w:hAnsiTheme="minorEastAsia" w:hint="eastAsia"/>
                <w:sz w:val="18"/>
                <w:szCs w:val="18"/>
              </w:rPr>
              <w:t>（这是“花书”没有的）</w:t>
            </w:r>
            <w:r w:rsidR="00403036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:rsidR="001E1BFA" w:rsidRPr="001E1BFA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38B3" w:rsidRPr="001E1BFA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、《</w:t>
            </w:r>
            <w:r w:rsidR="00AE3FC5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神经网络设计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》（Martin T. Hagan 等，机械工业出版社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AE3FC5" w:rsidRPr="00AE3FC5">
              <w:rPr>
                <w:rFonts w:asciiTheme="minorEastAsia" w:eastAsiaTheme="minorEastAsia" w:hAnsiTheme="minorEastAsia"/>
                <w:sz w:val="18"/>
                <w:szCs w:val="18"/>
              </w:rPr>
              <w:t>2007-09-01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AE3FC5" w:rsidRPr="00AE3FC5">
              <w:rPr>
                <w:rFonts w:asciiTheme="minorEastAsia" w:eastAsiaTheme="minorEastAsia" w:hAnsiTheme="minorEastAsia"/>
                <w:sz w:val="18"/>
                <w:szCs w:val="18"/>
              </w:rPr>
              <w:t>9787111075851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，49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）数学原理介绍到位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。但因时代较老，没有</w:t>
            </w:r>
            <w:r w:rsidR="00CB121F"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深度学习特有</w:t>
            </w:r>
            <w:r w:rsidR="00CB121F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  <w:r w:rsidR="003F56F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C338B3" w:rsidRPr="00C338B3" w:rsidRDefault="00C338B3" w:rsidP="001173F9">
            <w:pPr>
              <w:pStyle w:val="A0"/>
              <w:rPr>
                <w:sz w:val="18"/>
                <w:szCs w:val="18"/>
              </w:rPr>
            </w:pPr>
          </w:p>
        </w:tc>
      </w:tr>
      <w:tr w:rsidR="00510400">
        <w:trPr>
          <w:trHeight w:val="1117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营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销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建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议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3F9" w:rsidRDefault="00CA02E6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（简要分析图书的重点销售区域及销售宣传建议）</w:t>
            </w:r>
          </w:p>
          <w:p w:rsidR="00CA2485" w:rsidRDefault="00CA2485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</w:p>
          <w:p w:rsidR="00CA2485" w:rsidRPr="002C5FD5" w:rsidRDefault="00CA2485" w:rsidP="002C5FD5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2C5FD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本书宣传可以主要以“打开黑盒，透彻理解深度学习原理” 为重点。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作者情况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姓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   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名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张觉非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性别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年龄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35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职务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工程师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职称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学历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硕士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电话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15712853002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传真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>
            <w:pPr>
              <w:rPr>
                <w:lang w:eastAsia="zh-CN"/>
              </w:rPr>
            </w:pP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ascii="Arial Unicode MS" w:hAnsi="Arial Unicode MS"/>
                <w:sz w:val="18"/>
                <w:szCs w:val="18"/>
              </w:rPr>
              <w:t>E-Mail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zhangjuefei83@163.com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工作单位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</w:rPr>
            </w:pPr>
            <w:r w:rsidRPr="00B54EDB">
              <w:rPr>
                <w:rFonts w:hint="eastAsia"/>
                <w:sz w:val="18"/>
                <w:szCs w:val="18"/>
              </w:rPr>
              <w:t>奇虎</w:t>
            </w:r>
            <w:r w:rsidRPr="00B54EDB">
              <w:rPr>
                <w:rFonts w:hint="eastAsia"/>
                <w:sz w:val="18"/>
                <w:szCs w:val="18"/>
              </w:rPr>
              <w:t>360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通信地址</w:t>
            </w:r>
          </w:p>
        </w:tc>
        <w:tc>
          <w:tcPr>
            <w:tcW w:w="5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 w:rsidP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北京市朝阳区酒仙桥路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号院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号楼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B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座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7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层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邮编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B54EDB" w:rsidRDefault="00B54EDB">
            <w:pPr>
              <w:rPr>
                <w:sz w:val="18"/>
                <w:szCs w:val="18"/>
              </w:rPr>
            </w:pPr>
            <w:r w:rsidRPr="00B54EDB">
              <w:rPr>
                <w:sz w:val="18"/>
                <w:szCs w:val="18"/>
              </w:rPr>
              <w:t>100020</w:t>
            </w:r>
          </w:p>
        </w:tc>
      </w:tr>
      <w:tr w:rsidR="00510400">
        <w:trPr>
          <w:trHeight w:val="682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个人简历和技术背景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Pr="00D61644" w:rsidRDefault="00B54ED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2001</w:t>
            </w:r>
            <w:r w:rsidR="001173F9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~2005</w:t>
            </w: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 复旦大学 计算机科学与技术 学士</w:t>
            </w:r>
          </w:p>
          <w:p w:rsidR="00B54EDB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2008~2011</w:t>
            </w:r>
            <w:r w:rsidR="00B54EDB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 中国科学院古脊椎动物与古人类研究所 </w:t>
            </w: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硕士</w:t>
            </w:r>
          </w:p>
          <w:p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2011~2015 新浪微博 开发工程师</w:t>
            </w:r>
          </w:p>
          <w:p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2016~2017 阿里巴巴 机器学习工程师</w:t>
            </w:r>
          </w:p>
          <w:p w:rsidR="001173F9" w:rsidRDefault="00D61644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2018~     </w:t>
            </w:r>
            <w:r w:rsidR="001173F9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奇虎 360 机器学习专家</w:t>
            </w:r>
          </w:p>
          <w:p w:rsidR="001173F9" w:rsidRDefault="001173F9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</w:p>
          <w:p w:rsidR="001173F9" w:rsidRDefault="001173F9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/>
              </w:rPr>
              <w:t>知乎专栏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TW"/>
              </w:rPr>
              <w:t>“计算主义”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TW"/>
              </w:rPr>
              <w:t>专注于介绍机器学习原理。获关注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2400+ </w:t>
            </w:r>
            <w:r>
              <w:rPr>
                <w:rFonts w:hint="eastAsia"/>
                <w:sz w:val="18"/>
                <w:szCs w:val="18"/>
                <w:lang w:val="zh-TW"/>
              </w:rPr>
              <w:t>，文章获收藏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3000+ </w:t>
            </w:r>
            <w:r>
              <w:rPr>
                <w:rFonts w:hint="eastAsia"/>
                <w:sz w:val="18"/>
                <w:szCs w:val="18"/>
                <w:lang w:val="zh-TW"/>
              </w:rPr>
              <w:t>。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主要合作者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姓名</w:t>
            </w:r>
          </w:p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性别</w:t>
            </w:r>
          </w:p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年龄</w:t>
            </w:r>
          </w:p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工作单位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职务</w:t>
            </w:r>
          </w:p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  <w:tr w:rsidR="00510400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  <w:tr w:rsidR="00510400">
        <w:trPr>
          <w:trHeight w:val="283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整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体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性</w:t>
            </w:r>
          </w:p>
          <w:p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策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划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</w:rPr>
              <w:t>1.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印刷色数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 w:rsidP="001173F9">
            <w:pPr>
              <w:pStyle w:val="A0"/>
            </w:pP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单色 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18"/>
                  <w:lang w:val="zh-TW" w:eastAsia="zh-TW"/>
                </w:rPr>
                <m:t>√</m:t>
              </m:r>
            </m:oMath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双色    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四色</w:t>
            </w:r>
          </w:p>
        </w:tc>
      </w:tr>
      <w:tr w:rsidR="00510400">
        <w:trPr>
          <w:trHeight w:val="403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</w:rPr>
              <w:t>2.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估计定价</w:t>
            </w:r>
          </w:p>
        </w:tc>
        <w:tc>
          <w:tcPr>
            <w:tcW w:w="3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元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首印册数</w:t>
            </w: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册</w:t>
            </w:r>
          </w:p>
        </w:tc>
        <w:tc>
          <w:tcPr>
            <w:tcW w:w="9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预期销量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册</w:t>
            </w:r>
          </w:p>
        </w:tc>
      </w:tr>
      <w:tr w:rsidR="00510400">
        <w:trPr>
          <w:trHeight w:val="397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sz w:val="18"/>
                <w:szCs w:val="18"/>
              </w:rPr>
              <w:t>3.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光    盘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 w:rsidP="001173F9">
            <w:pPr>
              <w:pStyle w:val="A0"/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有</w:t>
            </w:r>
            <w:r>
              <w:rPr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张    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无</w:t>
            </w:r>
            <w:r w:rsidR="001173F9"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18"/>
                  <w:lang w:val="zh-TW"/>
                </w:rPr>
                <m:t>√</m:t>
              </m:r>
            </m:oMath>
          </w:p>
        </w:tc>
      </w:tr>
      <w:tr w:rsidR="00510400">
        <w:trPr>
          <w:trHeight w:val="391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其   他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510400"/>
        </w:tc>
      </w:tr>
      <w:tr w:rsidR="00510400">
        <w:trPr>
          <w:trHeight w:val="300"/>
          <w:jc w:val="center"/>
        </w:trPr>
        <w:tc>
          <w:tcPr>
            <w:tcW w:w="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推</w:t>
            </w:r>
          </w:p>
          <w:p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荐</w:t>
            </w:r>
          </w:p>
          <w:p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审</w:t>
            </w:r>
          </w:p>
          <w:p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稿</w:t>
            </w:r>
          </w:p>
          <w:p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人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职务</w:t>
            </w:r>
            <w:r>
              <w:rPr>
                <w:rFonts w:ascii="黑体" w:eastAsia="黑体" w:hAnsi="黑体" w:cs="黑体"/>
                <w:sz w:val="20"/>
                <w:szCs w:val="20"/>
              </w:rPr>
              <w:t>/</w:t>
            </w: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职称</w:t>
            </w:r>
          </w:p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单位（邮编）</w:t>
            </w:r>
          </w:p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电话或</w:t>
            </w:r>
            <w:r>
              <w:rPr>
                <w:rFonts w:ascii="黑体" w:eastAsia="黑体" w:hAnsi="黑体" w:cs="黑体"/>
                <w:sz w:val="20"/>
                <w:szCs w:val="20"/>
              </w:rPr>
              <w:t>E-mail</w:t>
            </w:r>
          </w:p>
        </w:tc>
      </w:tr>
      <w:tr w:rsidR="00510400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  <w:tr w:rsidR="00510400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  <w:tr w:rsidR="00510400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  <w:tr w:rsidR="00510400">
        <w:trPr>
          <w:trHeight w:val="24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400" w:rsidRDefault="00510400"/>
        </w:tc>
      </w:tr>
    </w:tbl>
    <w:p w:rsidR="00510400" w:rsidRDefault="00510400">
      <w:pPr>
        <w:pStyle w:val="3"/>
        <w:tabs>
          <w:tab w:val="left" w:pos="7560"/>
        </w:tabs>
        <w:spacing w:before="0" w:line="240" w:lineRule="auto"/>
        <w:ind w:left="108" w:hanging="108"/>
        <w:jc w:val="center"/>
        <w:rPr>
          <w:sz w:val="44"/>
          <w:szCs w:val="44"/>
        </w:rPr>
      </w:pPr>
    </w:p>
    <w:p w:rsidR="00510400" w:rsidRDefault="00CA02E6">
      <w:pPr>
        <w:pStyle w:val="A0"/>
        <w:spacing w:before="178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u w:val="single"/>
        </w:rPr>
        <w:t xml:space="preserve"> 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年</w:t>
      </w:r>
      <w:r>
        <w:rPr>
          <w:sz w:val="18"/>
          <w:szCs w:val="18"/>
          <w:u w:val="single"/>
        </w:rPr>
        <w:t xml:space="preserve">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月</w:t>
      </w:r>
      <w:r>
        <w:rPr>
          <w:sz w:val="18"/>
          <w:szCs w:val="18"/>
          <w:u w:val="single"/>
        </w:rPr>
        <w:t xml:space="preserve">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日</w:t>
      </w:r>
    </w:p>
    <w:p w:rsidR="00510400" w:rsidRDefault="00510400">
      <w:pPr>
        <w:pStyle w:val="A0"/>
        <w:spacing w:before="178"/>
        <w:jc w:val="left"/>
      </w:pPr>
    </w:p>
    <w:p w:rsidR="006B75EC" w:rsidRDefault="006B75EC">
      <w:pPr>
        <w:pStyle w:val="A0"/>
        <w:spacing w:before="178"/>
        <w:jc w:val="left"/>
      </w:pPr>
    </w:p>
    <w:sectPr w:rsidR="006B75EC">
      <w:pgSz w:w="11900" w:h="16840"/>
      <w:pgMar w:top="1134" w:right="1134" w:bottom="1134" w:left="1134" w:header="107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B1D" w:rsidRDefault="00DE4B1D">
      <w:r>
        <w:separator/>
      </w:r>
    </w:p>
  </w:endnote>
  <w:endnote w:type="continuationSeparator" w:id="0">
    <w:p w:rsidR="00DE4B1D" w:rsidRDefault="00DE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B1D" w:rsidRDefault="00DE4B1D">
      <w:r>
        <w:separator/>
      </w:r>
    </w:p>
  </w:footnote>
  <w:footnote w:type="continuationSeparator" w:id="0">
    <w:p w:rsidR="00DE4B1D" w:rsidRDefault="00DE4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54CD"/>
    <w:multiLevelType w:val="hybridMultilevel"/>
    <w:tmpl w:val="1570E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0400"/>
    <w:rsid w:val="00031A81"/>
    <w:rsid w:val="00036734"/>
    <w:rsid w:val="00041F2C"/>
    <w:rsid w:val="00057DE5"/>
    <w:rsid w:val="00097AE8"/>
    <w:rsid w:val="000C1AF6"/>
    <w:rsid w:val="000D6A91"/>
    <w:rsid w:val="000E6177"/>
    <w:rsid w:val="00101D90"/>
    <w:rsid w:val="001173F9"/>
    <w:rsid w:val="001239D6"/>
    <w:rsid w:val="001A0301"/>
    <w:rsid w:val="001E1BFA"/>
    <w:rsid w:val="0023231F"/>
    <w:rsid w:val="00233D40"/>
    <w:rsid w:val="00234D36"/>
    <w:rsid w:val="00240FAC"/>
    <w:rsid w:val="00274F73"/>
    <w:rsid w:val="002C5E0C"/>
    <w:rsid w:val="002C5FD5"/>
    <w:rsid w:val="002E1D14"/>
    <w:rsid w:val="003310FF"/>
    <w:rsid w:val="00332FF0"/>
    <w:rsid w:val="003361FB"/>
    <w:rsid w:val="00341D88"/>
    <w:rsid w:val="00343ED7"/>
    <w:rsid w:val="00381C6B"/>
    <w:rsid w:val="0039519A"/>
    <w:rsid w:val="003C6F8A"/>
    <w:rsid w:val="003F56FC"/>
    <w:rsid w:val="00403036"/>
    <w:rsid w:val="00415E4D"/>
    <w:rsid w:val="00452B6E"/>
    <w:rsid w:val="00510400"/>
    <w:rsid w:val="00541FC0"/>
    <w:rsid w:val="00553AA6"/>
    <w:rsid w:val="005546F0"/>
    <w:rsid w:val="005A6ABD"/>
    <w:rsid w:val="006647E8"/>
    <w:rsid w:val="006A04EA"/>
    <w:rsid w:val="006B474C"/>
    <w:rsid w:val="006B75EC"/>
    <w:rsid w:val="00700895"/>
    <w:rsid w:val="00700E7E"/>
    <w:rsid w:val="00726A65"/>
    <w:rsid w:val="00742C48"/>
    <w:rsid w:val="00766849"/>
    <w:rsid w:val="00771466"/>
    <w:rsid w:val="007C5186"/>
    <w:rsid w:val="007E5795"/>
    <w:rsid w:val="008004C0"/>
    <w:rsid w:val="008109FD"/>
    <w:rsid w:val="00834242"/>
    <w:rsid w:val="00842A3B"/>
    <w:rsid w:val="0087797B"/>
    <w:rsid w:val="0088579C"/>
    <w:rsid w:val="009247A9"/>
    <w:rsid w:val="00997AD7"/>
    <w:rsid w:val="009F6C52"/>
    <w:rsid w:val="00A0276C"/>
    <w:rsid w:val="00A43AF8"/>
    <w:rsid w:val="00AA2136"/>
    <w:rsid w:val="00AE3FC5"/>
    <w:rsid w:val="00AF5FAE"/>
    <w:rsid w:val="00B007C0"/>
    <w:rsid w:val="00B54EDB"/>
    <w:rsid w:val="00C260D0"/>
    <w:rsid w:val="00C338B3"/>
    <w:rsid w:val="00C41A71"/>
    <w:rsid w:val="00C91BB5"/>
    <w:rsid w:val="00CA02E6"/>
    <w:rsid w:val="00CA2485"/>
    <w:rsid w:val="00CB121F"/>
    <w:rsid w:val="00D61644"/>
    <w:rsid w:val="00DE4B1D"/>
    <w:rsid w:val="00DF19BE"/>
    <w:rsid w:val="00DF6770"/>
    <w:rsid w:val="00E02347"/>
    <w:rsid w:val="00EB5450"/>
    <w:rsid w:val="00F2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1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057DE5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7DE5"/>
    <w:rPr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12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1239D6"/>
    <w:rPr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unhideWhenUsed/>
    <w:rsid w:val="001239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1239D6"/>
    <w:rPr>
      <w:sz w:val="18"/>
      <w:szCs w:val="18"/>
      <w:lang w:eastAsia="en-US"/>
    </w:rPr>
  </w:style>
  <w:style w:type="character" w:styleId="a9">
    <w:name w:val="Placeholder Text"/>
    <w:basedOn w:val="a1"/>
    <w:uiPriority w:val="99"/>
    <w:semiHidden/>
    <w:rsid w:val="006B75EC"/>
    <w:rPr>
      <w:color w:val="808080"/>
    </w:rPr>
  </w:style>
  <w:style w:type="character" w:customStyle="1" w:styleId="1Char">
    <w:name w:val="标题 1 Char"/>
    <w:basedOn w:val="a1"/>
    <w:link w:val="1"/>
    <w:uiPriority w:val="9"/>
    <w:rsid w:val="001173F9"/>
    <w:rPr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1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057DE5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057DE5"/>
    <w:rPr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12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1239D6"/>
    <w:rPr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unhideWhenUsed/>
    <w:rsid w:val="001239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1239D6"/>
    <w:rPr>
      <w:sz w:val="18"/>
      <w:szCs w:val="18"/>
      <w:lang w:eastAsia="en-US"/>
    </w:rPr>
  </w:style>
  <w:style w:type="character" w:styleId="a9">
    <w:name w:val="Placeholder Text"/>
    <w:basedOn w:val="a1"/>
    <w:uiPriority w:val="99"/>
    <w:semiHidden/>
    <w:rsid w:val="006B75EC"/>
    <w:rPr>
      <w:color w:val="808080"/>
    </w:rPr>
  </w:style>
  <w:style w:type="character" w:customStyle="1" w:styleId="1Char">
    <w:name w:val="标题 1 Char"/>
    <w:basedOn w:val="a1"/>
    <w:link w:val="1"/>
    <w:uiPriority w:val="9"/>
    <w:rsid w:val="001173F9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108</cp:revision>
  <dcterms:created xsi:type="dcterms:W3CDTF">2018-07-17T07:33:00Z</dcterms:created>
  <dcterms:modified xsi:type="dcterms:W3CDTF">2018-07-24T03:50:00Z</dcterms:modified>
</cp:coreProperties>
</file>