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  <w:jc w:val="left"/>
      </w:pPr>
      <w:r>
        <w:rPr>
          <w:rFonts w:ascii="Microsoft YaHei" w:hAnsi="Microsoft YaHei" w:eastAsia="Microsoft YaHei" w:cs="Microsoft YaHei"/>
          <w:b/>
          <w:i w:val="0"/>
          <w:color w:val="0F6E6B"/>
          <w:sz w:val="22"/>
        </w:rPr>
        <w:t>加密货币协议研究备忘录</w:t>
      </w:r>
    </w:p>
    <w:p>
      <w:pPr>
        <w:spacing w:before="0" w:after="80" w:line="276" w:lineRule="auto"/>
        <w:jc w:val="left"/>
      </w:pPr>
      <w:r>
        <w:rPr>
          <w:rFonts w:ascii="Microsoft YaHei" w:hAnsi="Microsoft YaHei" w:eastAsia="Microsoft YaHei" w:cs="Microsoft YaHei"/>
          <w:b/>
          <w:i w:val="0"/>
          <w:color w:val="1F3A5F"/>
          <w:sz w:val="44"/>
        </w:rPr>
        <w:t>Pendle Finance：机制、百倍行情与代币价值捕获</w:t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22"/>
        </w:rPr>
        <w:t>一份面向投资判断的独立分析。结论先行，所有关键数字均标明口径与日期。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研究对象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Pendle / PENDLE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数据截止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2026-10-09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当前价格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2.09 美元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当前市值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3.62 亿美元</w:t>
            </w:r>
          </w:p>
        </w:tc>
      </w:tr>
      <w:tr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研究问题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业务、涨幅、价值捕获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核心 TVL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12.2 亿美元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距历史高点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-72%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</w:tcPr>
          <w:p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5E6A7D"/>
                <w:sz w:val="16"/>
              </w:rPr>
              <w:t>距 TVL 峰值</w:t>
            </w:r>
          </w:p>
          <w:p>
            <w:r>
              <w:rPr>
                <w:rFonts w:ascii="Microsoft YaHei" w:hAnsi="Microsoft YaHei" w:eastAsia="Microsoft YaHei" w:cs="Microsoft YaHei"/>
                <w:b/>
                <w:i w:val="0"/>
                <w:color w:val="1F3A5F"/>
                <w:sz w:val="21"/>
              </w:rPr>
              <w:t>-91%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Microsoft YaHei" w:hAnsi="Microsoft YaHei" w:eastAsia="Microsoft YaHei" w:cs="Microsoft YaHei"/>
          <w:b/>
          <w:i w:val="0"/>
          <w:color w:val="243042"/>
          <w:sz w:val="22"/>
        </w:rPr>
        <w:t>结论：Pendle 是加密市场里少见的、已经证明产品契合度的利率基础设施；但它过去的百倍涨幅不能外推。当前代币已经把“类别龙头”的溢价计入价格，而费用和 TVL 仍处于明显的下行周期。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1. 先回答三个问题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1.1 它是做什么的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Pendle 不直接创造收益，而是把已经存在的收益变成可以定价、拆分、对冲和转让的金融资产。官网现在将自己定义为“全球最大的加密收益交易平台”，产品分成两条线：V2 做现货收益，Boros 做保证金化的资金费率交易。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V2 的核心动作是收益代币化。用户把 stETH、sUSDe、借贷凭证或其他生息资产包装成标准化的 SY，再拆成 PT 与 YT。PT 类似零息债券，到期按约定的会计资产赎回，因此买入折价 PT 等于锁定固定收益率；YT 代表到期前的全部浮动收益和积分，价格只占底层资产的一小部分，所以天然带有收益杠杆。两者通过专门为收益率设计的 AMM 和限价订单簿交易。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Boros 解决的是另一类问题。ETH 质押或资金费率长期围绕一个均值小幅波动，不用杠杆时，利率变化很难形成有意义的盈亏。Boros 用 Yield Unit 表示一单位底层资产的资金费率现金流，允许交易者以较少保证金做多或做空未来资金费率，也可把永续合约的浮动资金费变成固定成本。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1.2 百倍从哪里来，前景是否成立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“前两年上涨百倍”这个说法，按极端价格衡量是成立的，但口径必须说清。CoinGecko 记录的美元最低价为 0.0338 美元，时间是 2022 年 11 月 14 日；最高价为 7.50 美元，时间是 2024 年 4 月 11 日。两者相差约 222 倍，间隔大约 17 个月。到 2026 年 10 月 9 日，价格约为 2.09 美元，较高点回撤 72%，但仍比最低点高约 62 倍。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这不是一条由利润连续复利推动的曲线。2023 年协议费用只有约 19 万美元，价格却已经开始脱离底部；真正的费用放量发生在 2024 年和 2025 年。涨幅主要来自四件事叠加：熊市底部的极低估值、LST/LRT/积分活动带来的需求冲击、V2 机制确实能服务这些需求，以及 Binance Labs 等机构关注改善了流动性和风险偏好。它证明 Pendle 抓住了一轮结构性行情，不能证明每两三年都可以再来一次百倍。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前景判断是：产品前景真实，代币的高增长前景未被当前数据证明。Pendle 有条件成为加密固定收益和利率交易的长期基础设施，但 Boros、RWA 和比特币收益都还是期权，不是已实现的收入引擎。合理的基准情形是一个有真实费用、强周期属性的利基龙头，而不是一个已经锁定巨大市场的成长垄断者。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1.3 经营数据与代币捕获了什么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经营层面，Pendle 已经跨过“只有叙事”的阶段。DefiLlama 显示，核心 TVL 在 2025 年 9 月 19 日达到 133.9 亿美元，2025 年日均 56.7 亿美元；协议费用从 2024 年的 1,910 万美元增至 2025 年的 3,955 万美元。项目方 2025 年回顾还披露全年交易量 478 亿美元、新增用户 155,553 人、资产结构中稳定币占 85%。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但周期已经反转。2026 年 10 月 9 日核心 TVL 为 12.2 亿美元，较高峰下降 91%；2026 年 1 月至 9 月费用约 877 万美元，较 2025 年同期下降约 71%。近 30 日费用只有 43.3 万美元，年化约 527 万美元。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代币捕获机制是明确的：V2 收取 YT 收益的 5%，并对交易收取随到期时间缩放的手续费；扣除流动性提供者份额后，协议收入的 80% 用于回购 PENDLE，再分配给活跃的 sPENDLE 持有人，10% 进金库，10% 用于运营。它捕获的是持有人收益，不是供给销毁。按近 12 个月收入估算，质押收益大致在中个位数；按近 30 日跑速，只剩约 2%。若协议按文件中的每年 2% 终端通胀全额发放激励，当前美元增发价值已高于近期回购。价值捕获的“管道”是通的，管道里的现金流不够粗。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2. 业务定位与竞争位置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可以把 DeFi 分成三层。第一层生产收益，例如 Lido、Ethena、Aave 和各类 RWA 项目；第二层提供杠杆和交易，例如永续合约交易所；Pendle 位于中间，把第一层的收益率标准化，再让第二层的交易和借贷市场使用它。官方文档明确把它称为搭建在 LST、LRT、稳定币和 RWA 之上的二阶衍生层。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因此，Pendle 的需求不是独立存在的。底层收益高、积分活动多、稳定币扩张快时，拆分和交易收益的需求就上升；这些活动退潮时，Pendle 的 TVL 和费用会比底层协议下降得更快。这是理解其财务报表的第一原则。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它相对竞争对手的差异不在品牌口号，而在三个已经落地的能力：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把本金和收益拆开，使用户可以同时存在固定收益买方、收益投机买方和流动性提供者。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AMM 按隐含收益率而不是代币价格集中流动性，并随到期日动态收紧曲线，降低持有到期时的无常损失。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PT 已被 Morpho、Silo、Euler 等货币市场接受为抵押品，使固定收益凭证进入更广泛的借贷乐高，而不只停留在 Pendle 自己的界面。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Spectra 等协议采用了相似的 PT/YT 架构，但尚未在流动性和集成深度上取代 Pendle。真正的竞争不一定来自克隆者，也可能来自钱包、交易所理财账户和货币市场直接提供“固定利率”产品，从而把 Pendle 的复杂性隐藏起来，甚至绕开 PENDLE 代币。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3. 机制：两套产品，一种利率业务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3.1 V2 的三层结构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一笔典型交易可以拆成三层。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标准化：stETH、sUSDe 或 aUSDC 被包装成 SY。SY 持有底层资产，也是收益和积分进入系统的入口。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拆分：1 单位 SY 可以拆成 1 单位 PT 加 1 单位 YT，也可以反向合并。到期后 PT 按会计资产赎回，YT 价值归零。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交易：池子实际存放的是 PT 和 SY。买入 YT 时，合约利用 PT 与 YT 的价格关系做闪电交换，因此一套流动性可以同时服务两类交易。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92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181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持有什么</w:t>
            </w:r>
          </w:p>
        </w:tc>
        <w:tc>
          <w:tcPr>
            <w:tcW w:type="dxa" w:w="306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核心收益来源</w:t>
            </w:r>
          </w:p>
        </w:tc>
        <w:tc>
          <w:tcPr>
            <w:tcW w:type="dxa" w:w="3175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主要风险</w:t>
            </w:r>
          </w:p>
        </w:tc>
      </w:tr>
      <w:tr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固定收益用户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折价买入 PT</w:t>
            </w:r>
          </w:p>
        </w:tc>
        <w:tc>
          <w:tcPr>
            <w:tcW w:type="dxa" w:w="306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到期赎回价差</w:t>
            </w:r>
          </w:p>
        </w:tc>
        <w:tc>
          <w:tcPr>
            <w:tcW w:type="dxa" w:w="317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底层资产、智能合约、流动性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收益交易者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买入 YT</w:t>
            </w:r>
          </w:p>
        </w:tc>
        <w:tc>
          <w:tcPr>
            <w:tcW w:type="dxa" w:w="306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实际收益率高于隐含收益率</w:t>
            </w:r>
          </w:p>
        </w:tc>
        <w:tc>
          <w:tcPr>
            <w:tcW w:type="dxa" w:w="3175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YT 时间衰减、收益不及预期</w:t>
            </w:r>
          </w:p>
        </w:tc>
      </w:tr>
      <w:tr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流动性提供者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PT/SY LP</w:t>
            </w:r>
          </w:p>
        </w:tc>
        <w:tc>
          <w:tcPr>
            <w:tcW w:type="dxa" w:w="306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固定收益、底层收益、手续费、激励</w:t>
            </w:r>
          </w:p>
        </w:tc>
        <w:tc>
          <w:tcPr>
            <w:tcW w:type="dxa" w:w="317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收益率偏离、激励下降</w:t>
            </w:r>
          </w:p>
        </w:tc>
      </w:tr>
      <w:tr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积分农户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通常买入 YT</w:t>
            </w:r>
          </w:p>
        </w:tc>
        <w:tc>
          <w:tcPr>
            <w:tcW w:type="dxa" w:w="306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以较少资金获得底层积分</w:t>
            </w:r>
          </w:p>
        </w:tc>
        <w:tc>
          <w:tcPr>
            <w:tcW w:type="dxa" w:w="3175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积分规则变化、空投不及预期</w:t>
            </w:r>
          </w:p>
        </w:tc>
      </w:tr>
      <w:tr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借贷集成方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接受 PT 抵押</w:t>
            </w:r>
          </w:p>
        </w:tc>
        <w:tc>
          <w:tcPr>
            <w:tcW w:type="dxa" w:w="306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可预测到期价值</w:t>
            </w:r>
          </w:p>
        </w:tc>
        <w:tc>
          <w:tcPr>
            <w:tcW w:type="dxa" w:w="317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预言机、折价和底层资产风险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1  V2 市场的主要参与者。PT 与 YT 的风险不是对称的：PT 更接近持有到期的固定收益工具，YT 更接近浪费时间价值的期权。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3.2 为什么这个 AMM 不是普通交易所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普通 AMM 要为价格的无限波动准备流动性。收益率却通常在可判断的区间内波动，例如质押 ETH 不会长期处于 50% 或 -20%。Pendle 因而把流动性集中在预设收益率区间，并让 PT 价格随时间自然向赎回价值靠拢。官方文档据此认为，持有到期时，LP 的经济结果接近直接持有底层资产，时间因素造成的无常损失被曲线移动抵消。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手续费也按“剩余收益”而不是名义本金收取。公式是：交易费 =（费率档位 / 365）× 距离到期天数。同一笔交易，离到期一年比离到期一个月更贵。这个设计使不同期限的池子可以比较，也解释了为什么 TVL 高并不自动等于手续费高：临近到期、低换手的资金产生的交易费很少。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这里有一个常被忽略的费用规则。PT 或 LP 到期后如果不赎回，底层资产仍会继续产生收益和积分，但这些收益会被重定向到 Pendle 的费用钱包。它鼓励用户滚动仓位，同时也使“费用”里包含一部分用户惰性造成的收入，不应全部理解成主动交易需求。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3.3 Boros：正确的方向，尚小的账本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Boros 目前主要交易中心化和链上永续合约市场的资金费率。每个 YU 代表一单位抵押资产在对应市场中的资金费率现金流。做多 YU 是支付固定利率、接收浮动资金费率；做空则相反。资金费率交易者可以借此表达方向观点、对冲永续仓位，或锁定跨交易所的费率差。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创始人 TN Lee 在 PANews 访谈中把 V2 和 Boros 比作同一品牌下的两条产品线，并明确表示 Pendle 不打算做现货或普通永续合约，而是集中做利率。这个战略边界是加分项。问题在于他同时表示，在 Boros 找到产品契合点并产生健康收入之前，不宜提前承诺其价值累积方式。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数字支持这种谨慎。DefiLlama 记录 Boros 于 2025 年 8 月形成 TVL，2026 年 4 月 18 日抵押品峰值仅 1,235 万美元，10 月 9 日为 749 万美元。上线以来累计费用约 80 万美元，只占 Pendle 历史总费用的 1.2%，占 2026 年费用的 5.6%。项目方在 2025 年 12 月称 Boros 四个月交易量 55 亿美元、未平仓名义价值 8,000 万美元，渗透率仅 0.04%。交易量说明有人试用，费用和抵押品说明它还没有成为利润中心。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4. 百倍行情的分解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4.1 价格事实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价格节点</w:t>
            </w:r>
          </w:p>
        </w:tc>
        <w:tc>
          <w:tcPr>
            <w:tcW w:type="dxa" w:w="2835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日期</w:t>
            </w:r>
          </w:p>
        </w:tc>
        <w:tc>
          <w:tcPr>
            <w:tcW w:type="dxa" w:w="204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价格</w:t>
            </w:r>
          </w:p>
        </w:tc>
        <w:tc>
          <w:tcPr>
            <w:tcW w:type="dxa" w:w="260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相对前一节点</w:t>
            </w:r>
          </w:p>
        </w:tc>
      </w:tr>
      <w:tr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美元最低价</w:t>
            </w:r>
          </w:p>
        </w:tc>
        <w:tc>
          <w:tcPr>
            <w:tcW w:type="dxa" w:w="283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2022-11-14</w:t>
            </w:r>
          </w:p>
        </w:tc>
        <w:tc>
          <w:tcPr>
            <w:tcW w:type="dxa" w:w="204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0.0338 美元</w:t>
            </w:r>
          </w:p>
        </w:tc>
        <w:tc>
          <w:tcPr>
            <w:tcW w:type="dxa" w:w="260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—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历史最高价</w:t>
            </w:r>
          </w:p>
        </w:tc>
        <w:tc>
          <w:tcPr>
            <w:tcW w:type="dxa" w:w="2835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2024-04-11</w:t>
            </w:r>
          </w:p>
        </w:tc>
        <w:tc>
          <w:tcPr>
            <w:tcW w:type="dxa" w:w="204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7.50 美元</w:t>
            </w:r>
          </w:p>
        </w:tc>
        <w:tc>
          <w:tcPr>
            <w:tcW w:type="dxa" w:w="260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+22,100%</w:t>
            </w:r>
          </w:p>
        </w:tc>
      </w:tr>
      <w:tr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本报告快照</w:t>
            </w:r>
          </w:p>
        </w:tc>
        <w:tc>
          <w:tcPr>
            <w:tcW w:type="dxa" w:w="283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2026-10-09</w:t>
            </w:r>
          </w:p>
        </w:tc>
        <w:tc>
          <w:tcPr>
            <w:tcW w:type="dxa" w:w="204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2.09 美元</w:t>
            </w:r>
          </w:p>
        </w:tc>
        <w:tc>
          <w:tcPr>
            <w:tcW w:type="dxa" w:w="260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较高点 -72%</w:t>
            </w:r>
          </w:p>
        </w:tc>
      </w:tr>
      <w:tr>
        <w:tc>
          <w:tcPr>
            <w:tcW w:type="dxa" w:w="249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最低价至当前</w:t>
            </w:r>
          </w:p>
        </w:tc>
        <w:tc>
          <w:tcPr>
            <w:tcW w:type="dxa" w:w="2835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2022-11 至 2026-10</w:t>
            </w:r>
          </w:p>
        </w:tc>
        <w:tc>
          <w:tcPr>
            <w:tcW w:type="dxa" w:w="204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2.09 美元</w:t>
            </w:r>
          </w:p>
        </w:tc>
        <w:tc>
          <w:tcPr>
            <w:tcW w:type="dxa" w:w="260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+6,090%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2  CoinGecko 美元价格极值。222 倍使用最低价至最高价，不是任意连续 24 个月的收盘价涨幅。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仅有价格倍数仍然不够，因为低点发生在全市场流动性最差的阶段，流通供给、解锁预期和市场深度都与 2024 年不同。本报告没有取得可靠的低点流通市值序列，所以不把“价格 222 倍”改写成“股东价值 222 倍”。可以确定的是，量级足够大，不能用数据误差解释掉。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4.2 五个真正起作用的因素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第一，起点极低。2021 年中主网上线后，产品复杂且正逢牛市注意力外溢，TVL 到 2021 年底只有约 3,400 万美元；2022 年日均 TVL 进一步降到约 1,050 万美元。价格在 2022 年 11 月进入以美分为单位的区间。任何后续基本面改善，都会在这个基数上表现为极大倍数。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第二，团队把失败周期用在产品重构上。TN Lee 曾是 KyberSwap 早期成员，2020 年 DeFi Summer 形成锁定超高收益率的想法。2021 年的早期产品没有获得持续关注，2022 年团队转向现在的 V2 架构。官方代币文档显示，团队和投资者代币到 2024 年 9 月已全部归属。至少从公开资料看，这不是一个在第一轮热度中放弃产品、只留下代币的项目。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第三，2023 年至 2024 年的叙事恰好需要 Pendle 的结构。LST 需要固定利率买家，LRT 和 Ethena 积分活动需要能够加杠杆的 YT 买家。Pendle 不是在空泛地“受益于叙事”，而是提供了别人难以迅速复制的头寸：用较少资金买入未来收益和积分，或在不确定收益中锁定固定利率。TVL 于 2024 年 2 月首次越过 10 亿美元，4 月越过 50 亿美元，与价格高点处于同一窗口。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第四，费用终于出现。DefiLlama 的日费用在 2024 年 4 月经常达到数万美元到十万美元，5 月出现 61 万美元的单日峰值。市场可以开始用费用而不是纯故事为代币定价。随后 Binance Labs 于 2023 年 8 月领投、Spartan Group 于 2023 年 11 月进行 OTC，提高了可投资性；这两轮金额未在 DefiLlama 披露，不能反过来当成估值锚。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第五，流通与注意力的弹性。2024 年 4 月距离团队和投资者完全归属还有数月，市场交易的不一定是完全稀释后的供给。高换手、低流通和强叙事会放大价格。这是上涨的原因之一，也是后来回撤的原因之一。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4.3 哪些解释应该降权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“传统利率衍生品名义规模超过 400 万亿美元，所以 Pendle 有巨大空间。”官方引用的是 BIS 的名义本金统计。名义本金不是收入，绝大部分也不是加密市场可迁移的零售或链上机构需求。它适合说明利率市场很大，不适合做收入预测。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“TVL 曾经达到 134 亿美元，所以协议曾经值数百亿美元。”TVL 是托管或记账中的底层资产，不是 Pendle 的收入资产。Pendle 只抽取其中很小一部分收益和交易费。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“机构标志出现在官网，所以需求和资金已经机构化。”Amber、Galaxy、Binance、OKX、Bybit、Fasanara 和 Republic 的展示说明有专业用户接触过产品，但不能替代持仓、留存和收入披露。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5. 经营数据：增长是真实的，持续性尚未证明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以下经营数据以 DefiLlama 的可复核时间序列为主。项目方 2025 年回顾使用不同统计口径，只在能互相印证时引用。</w:t>
      </w:r>
    </w:p>
    <w:p>
      <w:r>
        <w:drawing>
          <wp:inline xmlns:a="http://schemas.openxmlformats.org/drawingml/2006/main" xmlns:pic="http://schemas.openxmlformats.org/drawingml/2006/picture">
            <wp:extent cx="6263999" cy="2833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le_tv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图 1  日均 TVL 显示 2024 年完成跃迁，2025 年继续提高，2026 年均值已回落到接近 2024 年以前的趋势之外。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70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年份</w:t>
            </w:r>
          </w:p>
        </w:tc>
        <w:tc>
          <w:tcPr>
            <w:tcW w:type="dxa" w:w="181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日均 TVL</w:t>
            </w:r>
          </w:p>
        </w:tc>
        <w:tc>
          <w:tcPr>
            <w:tcW w:type="dxa" w:w="192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年内峰值</w:t>
            </w:r>
          </w:p>
        </w:tc>
        <w:tc>
          <w:tcPr>
            <w:tcW w:type="dxa" w:w="226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年末或当前</w:t>
            </w:r>
          </w:p>
        </w:tc>
        <w:tc>
          <w:tcPr>
            <w:tcW w:type="dxa" w:w="170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记录日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2021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0.27 亿</w:t>
            </w:r>
          </w:p>
        </w:tc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0.38 亿</w:t>
            </w:r>
          </w:p>
        </w:tc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0.34 亿</w:t>
            </w:r>
          </w:p>
        </w:tc>
        <w:tc>
          <w:tcPr>
            <w:tcW w:type="dxa" w:w="170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199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2022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0.10 亿</w:t>
            </w:r>
          </w:p>
        </w:tc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0.36 亿</w:t>
            </w:r>
          </w:p>
        </w:tc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0.15 亿</w:t>
            </w:r>
          </w:p>
        </w:tc>
        <w:tc>
          <w:tcPr>
            <w:tcW w:type="dxa" w:w="170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365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2023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1.14 亿</w:t>
            </w:r>
          </w:p>
        </w:tc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2.73 亿</w:t>
            </w:r>
          </w:p>
        </w:tc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2.34 亿</w:t>
            </w:r>
          </w:p>
        </w:tc>
        <w:tc>
          <w:tcPr>
            <w:tcW w:type="dxa" w:w="170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365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2024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32.1 亿</w:t>
            </w:r>
          </w:p>
        </w:tc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67.2 亿</w:t>
            </w:r>
          </w:p>
        </w:tc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44.2 亿</w:t>
            </w:r>
          </w:p>
        </w:tc>
        <w:tc>
          <w:tcPr>
            <w:tcW w:type="dxa" w:w="170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366</w:t>
            </w:r>
          </w:p>
        </w:tc>
      </w:tr>
      <w:tr>
        <w:tc>
          <w:tcPr>
            <w:tcW w:type="dxa" w:w="170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2025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56.7 亿</w:t>
            </w:r>
          </w:p>
        </w:tc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133.9 亿</w:t>
            </w:r>
          </w:p>
        </w:tc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37.4 亿</w:t>
            </w:r>
          </w:p>
        </w:tc>
        <w:tc>
          <w:tcPr>
            <w:tcW w:type="dxa" w:w="170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365</w:t>
            </w:r>
          </w:p>
        </w:tc>
      </w:tr>
      <w:tr>
        <w:tc>
          <w:tcPr>
            <w:tcW w:type="dxa" w:w="170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2026 YTD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17.8 亿</w:t>
            </w:r>
          </w:p>
        </w:tc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38.9 亿</w:t>
            </w:r>
          </w:p>
        </w:tc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12.2 亿</w:t>
            </w:r>
          </w:p>
        </w:tc>
        <w:tc>
          <w:tcPr>
            <w:tcW w:type="dxa" w:w="170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283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3  DefiLlama 父协议 TVL，单位为美元；2026 年当前值取 10 月 9 日。该序列包含协议定义下的流动性价值，已与 staking、pool2 分列。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TVL 的内部结构比总额更重要。2025 年 9 月以太坊峰值约 113 亿美元，说明高峰并不是分散在十几条链上的稳固网络，而是高度集中的阶段性存款。2026 年 10 月，以太坊仍占核心 TVL 的 62%，Arbitrum 占 15%，Monad 占 12%，X Layer 占 5%，Plasma 占 4%。Plasma 曾在 2026 年 1 月达到 14.2 亿美元，Hyperliquid 曾在 2025 年 9 月达到 14.1 亿美元，Sonic 曾达到 2.7 亿美元；三者当前分别只剩 0.43 亿、0.09 亿和 0.005 亿美元。多链扩展带来过 TVL，但留存很弱。</w:t>
      </w:r>
    </w:p>
    <w:p>
      <w:r>
        <w:drawing>
          <wp:inline xmlns:a="http://schemas.openxmlformats.org/drawingml/2006/main" xmlns:pic="http://schemas.openxmlformats.org/drawingml/2006/picture">
            <wp:extent cx="6263999" cy="2833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le_fe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83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图 2  费用在 2025 年达到峰值，但 2026 年尚未表现出新的增长斜率。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81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期间</w:t>
            </w:r>
          </w:p>
        </w:tc>
        <w:tc>
          <w:tcPr>
            <w:tcW w:type="dxa" w:w="181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协议费用</w:t>
            </w:r>
          </w:p>
        </w:tc>
        <w:tc>
          <w:tcPr>
            <w:tcW w:type="dxa" w:w="181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协议收入</w:t>
            </w:r>
          </w:p>
        </w:tc>
        <w:tc>
          <w:tcPr>
            <w:tcW w:type="dxa" w:w="1587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收入/费用</w:t>
            </w:r>
          </w:p>
        </w:tc>
        <w:tc>
          <w:tcPr>
            <w:tcW w:type="dxa" w:w="238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备注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2023*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19.1 万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16.7 万</w:t>
            </w:r>
          </w:p>
        </w:tc>
        <w:tc>
          <w:tcPr>
            <w:tcW w:type="dxa" w:w="1587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87%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序列自 7 月开始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2024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1,910 万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1,771 万</w:t>
            </w:r>
          </w:p>
        </w:tc>
        <w:tc>
          <w:tcPr>
            <w:tcW w:type="dxa" w:w="1587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93%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完整年度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2025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3,955 万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3,837 万</w:t>
            </w:r>
          </w:p>
        </w:tc>
        <w:tc>
          <w:tcPr>
            <w:tcW w:type="dxa" w:w="1587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97%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完整年度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2026 YTD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888 万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875 万</w:t>
            </w:r>
          </w:p>
        </w:tc>
        <w:tc>
          <w:tcPr>
            <w:tcW w:type="dxa" w:w="1587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99%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截至 10 月 9 日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12 个月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1,702 万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1,667 万</w:t>
            </w:r>
          </w:p>
        </w:tc>
        <w:tc>
          <w:tcPr>
            <w:tcW w:type="dxa" w:w="1587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98%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滚动窗口</w:t>
            </w:r>
          </w:p>
        </w:tc>
      </w:tr>
      <w:tr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30 日年化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527 万</w:t>
            </w:r>
          </w:p>
        </w:tc>
        <w:tc>
          <w:tcPr>
            <w:tcW w:type="dxa" w:w="181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518 万</w:t>
            </w:r>
          </w:p>
        </w:tc>
        <w:tc>
          <w:tcPr>
            <w:tcW w:type="dxa" w:w="1587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98%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短期跑速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历史累计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6,772 万</w:t>
            </w:r>
          </w:p>
        </w:tc>
        <w:tc>
          <w:tcPr>
            <w:tcW w:type="dxa" w:w="181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6,500 万</w:t>
            </w:r>
          </w:p>
        </w:tc>
        <w:tc>
          <w:tcPr>
            <w:tcW w:type="dxa" w:w="1587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96%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含异常峰值日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4  DefiLlama 费用与收入，单位为美元。收入口径是归协议及其代币持有人的部分，不等于全部用户支付。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费用质量有三个折扣：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极端集中。历史单日费用峰值是 2025 年 1 月 8 日的 608 万美元；最大的 10 个费用日占历史累计费用约 26%。这类峰值常与积分、空投或到期结算有关，不能按 365 天复制。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同比已经转负。2026 年 1 月至 9 月费用约 877 万美元，2025 年同期约 3,070 万美元，下降约 71%。9 月单月仅 56 万美元。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费用率很低。近 12 个月费用除以当前 TVL 约 1.4%，近 30 日跑速对应的费用率只有约 0.43%。Pendle 是高资金占用、低抽成的市场，不是高利润的交易平台。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交易量口径需要分开。DefiLlama 的现货交易量序列从 2024 年 6 月才开始，2025 年记录 406 亿美元；项目方回顾给出的 2025 年交易量是 478 亿美元。差异来自起始日期、YT 名义价值和统计边界，不改变“数百亿美元成交、但 2026 年显著放缓”的结论。DefiLlama 2026 年前 281 个记录日的成交量约为 60 亿美元。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项目方回顾中最有信息量的不是峰值，而是资产结构：2025 年投资分布为稳定币 85%、比特币 3%、以太坊 5%、其他 7%，并称提供了 580 亿美元固定收益、同比增长 161%。如果这个结构持续，Pendle 就从“积分杠杆赌场”转向“稳定币固定收益市场”，需求质量会更好，但单用户产生的投机费用也会更低。当前费用下滑说明，这种转型尚未补上积分退潮留下的收入缺口。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6. 代币：供给、权利与捕获能力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6.1 供给没有隐藏的悬崖，但没有硬顶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26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38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数值</w:t>
            </w:r>
          </w:p>
        </w:tc>
        <w:tc>
          <w:tcPr>
            <w:tcW w:type="dxa" w:w="5329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解释</w:t>
            </w:r>
          </w:p>
        </w:tc>
      </w:tr>
      <w:tr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快照价格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2.09 美元</w:t>
            </w:r>
          </w:p>
        </w:tc>
        <w:tc>
          <w:tcPr>
            <w:tcW w:type="dxa" w:w="5329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CoinGecko，2026-10-09 前后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流通供给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1.738 亿枚</w:t>
            </w:r>
          </w:p>
        </w:tc>
        <w:tc>
          <w:tcPr>
            <w:tcW w:type="dxa" w:w="5329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CoinGecko 口径</w:t>
            </w:r>
          </w:p>
        </w:tc>
      </w:tr>
      <w:tr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总供给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2.815 亿枚</w:t>
            </w:r>
          </w:p>
        </w:tc>
        <w:tc>
          <w:tcPr>
            <w:tcW w:type="dxa" w:w="5329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无最大供给上限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流通比例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61.7%</w:t>
            </w:r>
          </w:p>
        </w:tc>
        <w:tc>
          <w:tcPr>
            <w:tcW w:type="dxa" w:w="5329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两种口径并不完全等同</w:t>
            </w:r>
          </w:p>
        </w:tc>
      </w:tr>
      <w:tr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流通市值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3.623 亿美元</w:t>
            </w:r>
          </w:p>
        </w:tc>
        <w:tc>
          <w:tcPr>
            <w:tcW w:type="dxa" w:w="5329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排名约第 130 位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完全稀释价值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5.869 亿美元</w:t>
            </w:r>
          </w:p>
        </w:tc>
        <w:tc>
          <w:tcPr>
            <w:tcW w:type="dxa" w:w="5329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按当前总供给，不含未来通胀</w:t>
            </w:r>
          </w:p>
        </w:tc>
      </w:tr>
      <w:tr>
        <w:tc>
          <w:tcPr>
            <w:tcW w:type="dxa" w:w="226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历史最高价</w:t>
            </w:r>
          </w:p>
        </w:tc>
        <w:tc>
          <w:tcPr>
            <w:tcW w:type="dxa" w:w="238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7.50 美元</w:t>
            </w:r>
          </w:p>
        </w:tc>
        <w:tc>
          <w:tcPr>
            <w:tcW w:type="dxa" w:w="5329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2024-04-11</w:t>
            </w:r>
          </w:p>
        </w:tc>
      </w:tr>
      <w:tr>
        <w:tc>
          <w:tcPr>
            <w:tcW w:type="dxa" w:w="226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历史最低价</w:t>
            </w:r>
          </w:p>
        </w:tc>
        <w:tc>
          <w:tcPr>
            <w:tcW w:type="dxa" w:w="238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0.0338 美元</w:t>
            </w:r>
          </w:p>
        </w:tc>
        <w:tc>
          <w:tcPr>
            <w:tcW w:type="dxa" w:w="5329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2022-11-14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5  代币快照。FDV 没有包含 2% 终端通胀的永续稀释，因此仍是保守的静态口径。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官方流通供给定义比交易所聚合器更严格。文档把 sPENDLE 合约、尚未退出的 vePENDLE、生态基金、治理多签和团队多签中的 PENDLE 都排除在自由流通之外。CoinGecko 的 1.738 亿枚不一定遵守这五个扣减项，所以不应把 61.7% 直接解释成自由流通比例。由于本报告没有逐一读取五个地址余额，不另报一个未验证的流通量。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供给端的好消息是大额历史包袱已经释放。官方文档写明，截至 2024 年 9 月，团队和投资者代币全部归属；此后新增供给来自激励和生态建设。2021 年种子轮在 DefiLlama 中记录为 370 万美元，后续 Binance Labs 与 Spartan 轮次金额未披露。至少不存在一个即将集中到期、但尚未公开的早期投资者悬崖。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坏消息是供给没有上限。旧规则是 2024 年 9 月每周排放 216,076 枚，每周降低 1.1%，直到 2026 年 4 月，其后转入每年 2% 的终端通胀。今天已经经过这个切换日期，但本报告没有直接读取排放合约，因此 2% 应视为文件中的上限和基准，而不是链上实测值。新的算法激励模型按池子自己的流动性和费用计算奖励，并设有每池美元上限；当 PENDLE 低于 1.25 美元时，按 1.25 美元折算排放数量，避免低价时无限制增发。这比旧的纯粹争夺排放份额更健康。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6.2 费用如何进入代币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当前 V2 规则可以精确描述：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YT 费用：所有存续 YT 产生的收益和积分收取 5%；到期后未赎回 PT 对应的收益也归入这一逻辑。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交易费：按费率档位和剩余天数计算，由池子部署者设定。目前文档称实际部署者仍是 Pendle 团队。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分配：全部交易费的 20% 先给 LP。剩余交易费加全部 YT 费用中，80% 进入回购，10% 给协议金库，10% 给运营。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回购执行：费用每两周归集到以太坊回购合约 0x9e08C5499f953C6297A7755BcBcEd383b606896b，随后按一小时 TWAP 买入。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持有人分配：回购所得 PENDLE 最多 100% 分给活跃 sPENDLE 持有人。积分类费用按原代币空投，不强制换成 PENDLE。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2026 年 1 月 20 日上线的 sPENDLE 改变了参与方式。PENDLE 可以 1:1 立刻换成 sPENDLE；sPENDLE 本身不会复利增值。常规退出等待 14 天，即时退出收费 5%。有治理提案可投时，不投票的钱包会被视为不活跃，从而失去当期奖励；没有提案的周期则全部视为活跃。部署在合格 DeFi 集成中的 sPENDLE 持续视为活跃。旧 vePENDLE 在 1 月 29 日快照后停止新锁仓，并按剩余锁定期获得最高 4 倍、逐步衰减的虚拟 sPENDLE。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这是一次实质性改进。旧的多年锁仓把大量持有人挡在费用分配之外；可转让的 sPENDLE 降低了参与门槛，也让质押凭证有机会进入其他 DeFi。但它没有把代币变成股权。奖励是代币本身，收到后可以在 14 天后卖出，所以回购创造的是阶段性买盘和持有人收益，不是永久性供给收缩。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 w:cs="Microsoft YaHei"/>
          <w:b/>
          <w:i w:val="0"/>
          <w:color w:val="0F6E6B"/>
          <w:sz w:val="26"/>
        </w:rPr>
        <w:t>6.3 捕获能力的数量边界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用 DefiLlama 的以太坊 staking TVL 作为质押基数，可以得到一个粗略但有方向性的收益率。该值在 10 月 9 日为 1.988 亿美元。若它主要代表质押的 PENDLE，按 2.09 美元计算约等于 9,510 万枚，占总供给 34%。这是估算，不是链上代币余额审计。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04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测算</w:t>
            </w:r>
          </w:p>
        </w:tc>
        <w:tc>
          <w:tcPr>
            <w:tcW w:type="dxa" w:w="215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收入基础</w:t>
            </w:r>
          </w:p>
        </w:tc>
        <w:tc>
          <w:tcPr>
            <w:tcW w:type="dxa" w:w="249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80% 回购</w:t>
            </w:r>
          </w:p>
        </w:tc>
        <w:tc>
          <w:tcPr>
            <w:tcW w:type="dxa" w:w="328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相对 1.99 亿美元质押价值</w:t>
            </w:r>
          </w:p>
        </w:tc>
      </w:tr>
      <w:tr>
        <w:tc>
          <w:tcPr>
            <w:tcW w:type="dxa" w:w="204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12 个月</w:t>
            </w:r>
          </w:p>
        </w:tc>
        <w:tc>
          <w:tcPr>
            <w:tcW w:type="dxa" w:w="215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1,667 万美元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1,334 万美元</w:t>
            </w:r>
          </w:p>
        </w:tc>
        <w:tc>
          <w:tcPr>
            <w:tcW w:type="dxa" w:w="328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6.7%</w:t>
            </w:r>
          </w:p>
        </w:tc>
      </w:tr>
      <w:tr>
        <w:tc>
          <w:tcPr>
            <w:tcW w:type="dxa" w:w="204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2026 年化 YTD</w:t>
            </w:r>
          </w:p>
        </w:tc>
        <w:tc>
          <w:tcPr>
            <w:tcW w:type="dxa" w:w="215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1,137 万美元</w:t>
            </w:r>
          </w:p>
        </w:tc>
        <w:tc>
          <w:tcPr>
            <w:tcW w:type="dxa" w:w="249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909 万美元</w:t>
            </w:r>
          </w:p>
        </w:tc>
        <w:tc>
          <w:tcPr>
            <w:tcW w:type="dxa" w:w="328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4.6%</w:t>
            </w:r>
          </w:p>
        </w:tc>
      </w:tr>
      <w:tr>
        <w:tc>
          <w:tcPr>
            <w:tcW w:type="dxa" w:w="204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30 日年化</w:t>
            </w:r>
          </w:p>
        </w:tc>
        <w:tc>
          <w:tcPr>
            <w:tcW w:type="dxa" w:w="215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518 万美元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415 万美元</w:t>
            </w:r>
          </w:p>
        </w:tc>
        <w:tc>
          <w:tcPr>
            <w:tcW w:type="dxa" w:w="328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约 2.1%</w:t>
            </w:r>
          </w:p>
        </w:tc>
      </w:tr>
      <w:tr>
        <w:tc>
          <w:tcPr>
            <w:tcW w:type="dxa" w:w="204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2% 增发压力测试</w:t>
            </w:r>
          </w:p>
        </w:tc>
        <w:tc>
          <w:tcPr>
            <w:tcW w:type="dxa" w:w="215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—</w:t>
            </w:r>
          </w:p>
        </w:tc>
        <w:tc>
          <w:tcPr>
            <w:tcW w:type="dxa" w:w="249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增发价值约 1,177 万美元</w:t>
            </w:r>
          </w:p>
        </w:tc>
        <w:tc>
          <w:tcPr>
            <w:tcW w:type="dxa" w:w="328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回购尚未覆盖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6  持有人收益只是机械测算。它假设 staking TVL 全部是 PENDLE、80% 规则持续适用，并忽略奖励的代币价格波动、活跃度过滤和积分空投。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这张表给出三个投资上重要的结论：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按过去 12 个月看，回购大体能抵消 2% 全额增发的美元价值，持有人还有正收益。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按最近 30 日看，回购只有约 415 万美元，而 2% 全额增发价值约 1,177 万美元。当前跑速下，代币经济从“费用覆盖稀释”变成“稀释超过费用”。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由于新激励模型可能不会发满 2%，实际稀释可能更低。但在读取排放合约之前，不能把这种可能性当成事实。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Boros 的费用目前不应自动算进上述回购。官方 sPENDLE 页面写的是 Pendle V2 的收益费和交易费，没有写明 Boros 的全部费用都进入同一回购池。创始人也明确把 Boros 的价值累积机制留到产品契合之后。DefiLlama 已记录 Boros 的协议收入，但这只说明费用被协议收取，不能证明 100% 或 80% 归 PENDLE 持有人。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7. 当前估值已经不便宜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835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估值口径</w:t>
            </w:r>
          </w:p>
        </w:tc>
        <w:tc>
          <w:tcPr>
            <w:tcW w:type="dxa" w:w="215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年化费用或收入</w:t>
            </w:r>
          </w:p>
        </w:tc>
        <w:tc>
          <w:tcPr>
            <w:tcW w:type="dxa" w:w="1928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流通市值倍数</w:t>
            </w:r>
          </w:p>
        </w:tc>
        <w:tc>
          <w:tcPr>
            <w:tcW w:type="dxa" w:w="2494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12 个月费用</w:t>
            </w:r>
          </w:p>
        </w:tc>
        <w:tc>
          <w:tcPr>
            <w:tcW w:type="dxa" w:w="215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1,702 万美元</w:t>
            </w:r>
          </w:p>
        </w:tc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21.3 倍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包含 2025 年尾部高收入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12 个月收入</w:t>
            </w:r>
          </w:p>
        </w:tc>
        <w:tc>
          <w:tcPr>
            <w:tcW w:type="dxa" w:w="215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1,667 万美元</w:t>
            </w:r>
          </w:p>
        </w:tc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21.7 倍</w:t>
            </w:r>
          </w:p>
        </w:tc>
        <w:tc>
          <w:tcPr>
            <w:tcW w:type="dxa" w:w="249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更接近可分配基础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2026 YTD 年化费用</w:t>
            </w:r>
          </w:p>
        </w:tc>
        <w:tc>
          <w:tcPr>
            <w:tcW w:type="dxa" w:w="215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1,153 万美元</w:t>
            </w:r>
          </w:p>
        </w:tc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31.4 倍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仍混有上半年峰值</w:t>
            </w:r>
          </w:p>
        </w:tc>
      </w:tr>
      <w:tr>
        <w:tc>
          <w:tcPr>
            <w:tcW w:type="dxa" w:w="2835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近 30 日年化收入</w:t>
            </w:r>
          </w:p>
        </w:tc>
        <w:tc>
          <w:tcPr>
            <w:tcW w:type="dxa" w:w="215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518 万美元</w:t>
            </w:r>
          </w:p>
        </w:tc>
        <w:tc>
          <w:tcPr>
            <w:tcW w:type="dxa" w:w="1928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69.9 倍</w:t>
            </w:r>
          </w:p>
        </w:tc>
        <w:tc>
          <w:tcPr>
            <w:tcW w:type="dxa" w:w="2494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当前需求的严格口径</w:t>
            </w:r>
          </w:p>
        </w:tc>
      </w:tr>
      <w:tr>
        <w:tc>
          <w:tcPr>
            <w:tcW w:type="dxa" w:w="2835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静态 FDV / 近 12 个月收入</w:t>
            </w:r>
          </w:p>
        </w:tc>
        <w:tc>
          <w:tcPr>
            <w:tcW w:type="dxa" w:w="215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1,667 万美元</w:t>
            </w:r>
          </w:p>
        </w:tc>
        <w:tc>
          <w:tcPr>
            <w:tcW w:type="dxa" w:w="1928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35.2 倍</w:t>
            </w:r>
          </w:p>
        </w:tc>
        <w:tc>
          <w:tcPr>
            <w:tcW w:type="dxa" w:w="2494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不含未来通胀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7  倍数使用 3.623 亿美元流通市值或 5.869 亿美元 FDV。加密项目的费用倍数不能直接与股票市盈率比较，但足以判断价格是否已反映复苏。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价格较高点下跌 72%，容易造成“已经很便宜”的错觉。便宜与否要看分母。若未来费用稳定在 2,000 万至 2,500 万美元，并以 15 至 20 倍费用定价，对应流通市值约为 3.0 亿至 5.0 亿美元，当前价格大体位于这个区间内。也就是说，现价已经提前反映了费用从当前低点明显恢复，并没有把协议当成失败项目定价。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再涨 10 倍意味着约 36 亿美元流通市值。即便市场愿意给 30 倍费用，也需要每年约 1.2 亿美元的可持续费用，较近 30 日跑速增长 20 倍以上，较 2025 年峰值年份仍需增长约 3 倍并长期维持。Boros 或 RWA 并非数学上不可能实现它，但今天没有任何经营数据支持把这当作基准情形。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8. 情景、催化剂与证伪条件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1361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情景</w:t>
            </w:r>
          </w:p>
        </w:tc>
        <w:tc>
          <w:tcPr>
            <w:tcW w:type="dxa" w:w="5216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需要看到的证据</w:t>
            </w:r>
          </w:p>
        </w:tc>
        <w:tc>
          <w:tcPr>
            <w:tcW w:type="dxa" w:w="3402"/>
            <w:shd w:fill="1F3A5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center"/>
            </w:pPr>
            <w:r/>
            <w:r>
              <w:rPr>
                <w:rFonts w:ascii="Microsoft YaHei" w:hAnsi="Microsoft YaHei" w:eastAsia="Microsoft YaHei" w:cs="Microsoft YaHei"/>
                <w:b/>
                <w:i w:val="0"/>
                <w:color w:val="FFFFFF"/>
                <w:sz w:val="17"/>
              </w:rPr>
              <w:t>代币含义</w:t>
            </w:r>
          </w:p>
        </w:tc>
      </w:tr>
      <w:tr>
        <w:tc>
          <w:tcPr>
            <w:tcW w:type="dxa" w:w="136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基准</w:t>
            </w:r>
          </w:p>
        </w:tc>
        <w:tc>
          <w:tcPr>
            <w:tcW w:type="dxa" w:w="5216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TVL 稳定在 10 亿至 30 亿美元，年费用恢复到 1,500 万至 3,000 万美元</w:t>
            </w:r>
          </w:p>
        </w:tc>
        <w:tc>
          <w:tcPr>
            <w:tcW w:type="dxa" w:w="3402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有持有价值，但难以重复历史倍数</w:t>
            </w:r>
          </w:p>
        </w:tc>
      </w:tr>
      <w:tr>
        <w:tc>
          <w:tcPr>
            <w:tcW w:type="dxa" w:w="1361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乐观</w:t>
            </w:r>
          </w:p>
        </w:tc>
        <w:tc>
          <w:tcPr>
            <w:tcW w:type="dxa" w:w="5216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Boros 费用连续多个季度跃升，或 RWA/BTC 收益形成可留存市场</w:t>
            </w:r>
          </w:p>
        </w:tc>
        <w:tc>
          <w:tcPr>
            <w:tcW w:type="dxa" w:w="3402"/>
            <w:shd w:fill="FFFFFF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可以支持新一轮重估，仍需看分配规则</w:t>
            </w:r>
          </w:p>
        </w:tc>
      </w:tr>
      <w:tr>
        <w:tc>
          <w:tcPr>
            <w:tcW w:type="dxa" w:w="1361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lef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悲观</w:t>
            </w:r>
          </w:p>
        </w:tc>
        <w:tc>
          <w:tcPr>
            <w:tcW w:type="dxa" w:w="5216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TVL 跌破 10 亿美元且月费用长期低于 50 万美元</w:t>
            </w:r>
          </w:p>
        </w:tc>
        <w:tc>
          <w:tcPr>
            <w:tcW w:type="dxa" w:w="3402"/>
            <w:shd w:fill="F4F7FB" w:val="clear"/>
            <w:tcBorders>
              <w:top w:val="single" w:sz="4" w:color="D5DCE6"/>
              <w:left w:val="single" w:sz="4" w:color="D5DCE6"/>
              <w:bottom w:val="single" w:sz="4" w:color="D5DCE6"/>
              <w:right w:val="single" w:sz="4" w:color="D5DCE6"/>
            </w:tcBorders>
            <w:vAlign w:val="center"/>
          </w:tcPr>
          <w:p>
            <w:pPr>
              <w:spacing w:before="40" w:after="40" w:line="252" w:lineRule="auto"/>
              <w:jc w:val="right"/>
            </w:pPr>
            <w:r/>
            <w:r>
              <w:rPr>
                <w:rFonts w:ascii="Microsoft YaHei" w:hAnsi="Microsoft YaHei" w:eastAsia="Microsoft YaHei" w:cs="Microsoft YaHei"/>
                <w:b w:val="0"/>
                <w:i w:val="0"/>
                <w:color w:val="243042"/>
                <w:sz w:val="17"/>
              </w:rPr>
              <w:t>回购无法覆盖稀释，代币更依赖叙事</w:t>
            </w:r>
          </w:p>
        </w:tc>
      </w:tr>
    </w:tbl>
    <w:p/>
    <w:p>
      <w:pPr>
        <w:spacing w:before="0" w:after="160" w:line="276" w:lineRule="auto"/>
        <w:jc w:val="left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7"/>
        </w:rPr>
        <w:t>表 8  情景用于跟踪，不是目标价。乐观情景必须同时满足“收入增长”和“收入归代币”两个条件。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未来 12 个月真正重要的催化剂只有四类：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稳定币固定收益市场的留存，而不是新链上线当天的 TVL。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Boros 从交易量转向费用、抵押品和重复用户，并公布明确的 PENDLE 分配比例。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PT 抵押在外部货币市场中的使用规模。这代表 Pendle 是否成为其他协议的默认组件。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实际周排放低于 2% 上限，且回购合约保持透明执行。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以下观察会削弱本报告的正面判断：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核心月费用连续低于 50 万美元，同时质押奖励继续完全依赖代币增发。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新链 TVL 继续呈现“上线即峰值、数月后回落”的模式。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Boros 扩大名义未平仓，但费用长期停留在每月数万美元。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治理把回购比例下调，或把新增产品的收入留在团队控制的实体。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底层稳定币、RWA 或 LST 出现重大损失，导致 PT 的“到期确定价值”失效。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9. 风险地图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需求风险：积分、空投和激励存款曾是增长核心。稳定币转型是正确方向，但目前没有证明它能产生同等费用。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底层资产风险：官方 FAQ 明确声明，第三方协议被利用造成的损失不由 Pendle 负责。Pendle 的 TVL 越大，嵌入的外部信用风险越大。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智能合约与预言机风险：V2 和 Boros 均有 ChainSecurity、Spearbit 等审计，DefiLlama 黑客库没有 Pendle 核心协议被盗记录。审计不能消除风险，Boros 的保证金、清算和跨市场预言机增加了新的失败面。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用户安全风险：公开报道中的损失更多与钓鱼、授权和钱包操作有关，团队曾澄清相关事件不是核心协议被攻击。对协议估值不是直接资金缺口，但会影响分发和品牌。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治理与费用风险：池子费率目前实际上由团队部署决定；回购比例和 Boros 分配都可由治理改变。代币权利是政策，不是不可更改的链上股息。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流动性与解锁风险：历史投资者悬崖已过，但生态基金、团队多签和激励库存仍可能进入市场。sPENDLE 的 14 天退出队列在恐慌时也会集中解锁。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数据风险：费用峰值、交易名义价值和 TVL 都可能被积分计价、一次性结算或跨链重复叙事放大。本报告优先使用时间序列，不用单一宣传峰值做估值。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10. 最终判断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Pendle 值得被当作真正的金融协议研究，而不是普通的激励型 DeFi 项目。它找到了一个清晰的工作：给链上收益提供期限结构和交易场所。V2 的 PT/YT 设计、收益率 AMM、PT 抵押集成和后来的回购机制，共同构成了其他项目不容易用一次分叉复制的经营系统。2024 年至 2025 年的 TVL、交易量和费用证明这套系统有市场需求。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但“与众不同”不等于“仍有百倍空间”。222 倍发生在从周期底部到叙事极致的特殊区间；今天的起点是 3.6 亿美元市值、12 亿美元 TVL，近 30 日费用只有 43 万美元。类别地位仍在，增长斜率不在。Boros 是最合理的第二曲线，可是抵押品不到 800 万美元、历史费用不到 100 万美元，且代币分配尚未完全承诺。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因此，对项目本身给予正面评价，对当前价格下的高增长预期保持否定。若只问 Pendle 是否有前景，答案是有，它是加密利率层最可信的候选者之一。若问 PENDLE 是否因为曾经上涨百倍、现在仍有明确的价值捕获，就应该再涨一个数量级，答案是否定的。它现在更像一个需要用费用复苏和 Boros 真实收入来证明自己的优质周期资产。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 w:cs="Microsoft YaHei"/>
          <w:b/>
          <w:i w:val="0"/>
          <w:color w:val="1F3A5F"/>
          <w:sz w:val="32"/>
        </w:rPr>
        <w:t>11. 方法、局限与资料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本报告没有使用未标明的市场传闻填补空缺。主要处理规则如下：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机制和代币规则优先采用 Pendle 官方文档；访谈只用于说明战略意图。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TVL、费用、收入和交易量优先采用 DefiLlama API 的日频数据，并在 2026 年 10 月 9 日下载。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价格、供给和市值采用 CoinGecko 与 CoinPaprika 的公开接口。两者的 24 小时成交额差异较大，故不把它作为核心论据。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项目方 2025 年回顾未能直接打开原始长文，只通过 BlockBeats 2025 年 12 月 5 日对官方数据的转述引用，并与 DefiLlama 交叉验证。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未直接审计回购合约余额、五个非流通地址和当前排放合约。涉及这些地址的结论都表述为规则或估算。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主要来源：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Pendle 官网：https://www.pendle.finance/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V2 文档：https://docs.pendle.finance/pendle-v2/Introduction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费用规则：https://docs.pendle.finance/pendle-v2/ProtocolMechanics/Mechanisms/Fees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代币与 sPENDLE：https://docs.pendle.finance/pendle-v2/ProtocolMechanics/Mechanisms/Tokenomics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Boros 文档：https://docs.pendle.finance/boros-docs/Introduction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DefiLlama Pendle：https://defillama.com/protocol/pendle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CoinGecko Pendle：https://www.coingecko.com/en/coins/pendle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BlockBeats 对 2025 年官方回顾的报道：https://en.theblockbeats.news/flash/323178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PANews 对 TN Lee 的访谈：https://www.panewslab.com/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5E6A7D"/>
          <w:sz w:val="18"/>
        </w:rPr>
        <w:t>免责声明：本文件是基于公开资料的研究备忘录，不是购买、出售或持有任何代币的建议，也不构成对未来价格、收益率或协议安全性的承诺。加密资产可能损失全部本金；智能合约、预言机、稳定币和治理规则均可能变化。</w:t>
      </w:r>
    </w:p>
    <w:p>
      <w:pPr>
        <w:spacing w:before="0" w:after="160" w:line="276" w:lineRule="auto"/>
        <w:jc w:val="both"/>
      </w:pPr>
      <w:r>
        <w:rPr>
          <w:rFonts w:ascii="Microsoft YaHei" w:hAnsi="Microsoft YaHei" w:eastAsia="Microsoft YaHei" w:cs="Microsoft YaHei"/>
          <w:b w:val="0"/>
          <w:i w:val="0"/>
          <w:color w:val="243042"/>
          <w:sz w:val="21"/>
        </w:rPr>
        <w:t>跟踪清单：每月核对核心 TVL、协议费用、回购执行、实际排放、Boros 抵押品与费用，以及 PT 在外部借贷市场的使用规模。只有费用恢复和分配规则同时改善，才应上调代币结论。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907" w:right="964" w:bottom="850" w:left="964" w:header="283" w:footer="22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icrosoft YaHei" w:hAnsi="Microsoft YaHei" w:eastAsia="Microsoft YaHei" w:cs="Microsoft YaHei"/>
        <w:b w:val="0"/>
        <w:i w:val="0"/>
        <w:color w:val="5E6A7D"/>
        <w:sz w:val="16"/>
      </w:rPr>
      <w:t xml:space="preserve">独立研究备忘录，不构成投资建议    </w:t>
    </w:r>
    <w:r>
      <w:rPr>
        <w:rFonts w:ascii="Microsoft YaHei" w:hAnsi="Microsoft YaHei" w:eastAsia="Microsoft YaHei" w:cs="Microsoft YaHei"/>
        <w:b w:val="0"/>
        <w:i w:val="0"/>
        <w:color w:val="5E6A7D"/>
        <w:sz w:val="16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Microsoft YaHei" w:hAnsi="Microsoft YaHei" w:eastAsia="Microsoft YaHei" w:cs="Microsoft YaHei"/>
        <w:b w:val="0"/>
        <w:i w:val="0"/>
        <w:color w:val="5E6A7D"/>
        <w:sz w:val="16"/>
      </w:rPr>
      <w:t xml:space="preserve">独立研究备忘录，不构成投资建议    </w:t>
    </w:r>
    <w:r>
      <w:rPr>
        <w:rFonts w:ascii="Microsoft YaHei" w:hAnsi="Microsoft YaHei" w:eastAsia="Microsoft YaHei" w:cs="Microsoft YaHei"/>
        <w:b w:val="0"/>
        <w:i w:val="0"/>
        <w:color w:val="5E6A7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i w:val="0"/>
        <w:color w:val="5E6A7D"/>
        <w:sz w:val="16"/>
      </w:rPr>
      <w:t>PENDLE RESEARCH MEMO  ·  数据截止 2026-10-09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color w:val="243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