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40"/>
        <w:jc w:val="center"/>
      </w:pPr>
      <w:r>
        <w:rPr>
          <w:rFonts w:ascii="PingFang SC" w:hAnsi="PingFang SC" w:eastAsia="PingFang SC"/>
          <w:b/>
          <w:color w:val="17365D"/>
          <w:sz w:val="50"/>
        </w:rPr>
        <w:t>第一阶段：AI 产品经理系统学习班</w:t>
      </w:r>
    </w:p>
    <w:p>
      <w:pPr>
        <w:spacing w:after="640"/>
        <w:jc w:val="center"/>
      </w:pPr>
      <w:r>
        <w:rPr>
          <w:rFonts w:ascii="Arial" w:hAnsi="Arial" w:eastAsia="Arial"/>
          <w:b w:val="0"/>
          <w:color w:val="5B9BD5"/>
          <w:sz w:val="19"/>
        </w:rPr>
        <w:t>AI PRODUCT MANAGER · FOUNDATION</w:t>
      </w:r>
    </w:p>
    <w:p>
      <w:pPr>
        <w:spacing w:line="360" w:lineRule="auto"/>
        <w:jc w:val="center"/>
      </w:pPr>
      <w:r>
        <w:rPr>
          <w:rFonts w:ascii="PingFang SC" w:hAnsi="PingFang SC" w:eastAsia="PingFang SC"/>
          <w:b/>
          <w:color w:val="44546A"/>
          <w:sz w:val="26"/>
        </w:rPr>
        <w:t>V4.0 执行与售卖版</w:t>
      </w:r>
      <w:r>
        <w:br/>
      </w:r>
      <w:r>
        <w:rPr>
          <w:rFonts w:ascii="PingFang SC" w:hAnsi="PingFang SC" w:eastAsia="PingFang SC"/>
          <w:b w:val="0"/>
          <w:color w:val="44546A"/>
          <w:sz w:val="22"/>
        </w:rPr>
        <w:t>建议售价 ¥2299</w:t>
      </w:r>
      <w:r>
        <w:br/>
      </w:r>
      <w:r>
        <w:rPr>
          <w:rFonts w:ascii="PingFang SC" w:hAnsi="PingFang SC" w:eastAsia="PingFang SC"/>
          <w:b w:val="0"/>
          <w:color w:val="44546A"/>
          <w:sz w:val="22"/>
        </w:rPr>
        <w:t>第 0 课 + 12 次正式课</w:t>
      </w:r>
    </w:p>
    <w:p/>
    <w:p/>
    <w:p/>
    <w:p/>
    <w:p/>
    <w:p>
      <w:pPr>
        <w:jc w:val="center"/>
      </w:pPr>
      <w:r>
        <w:rPr>
          <w:rFonts w:ascii="PingFang SC" w:hAnsi="PingFang SC" w:eastAsia="PingFang SC"/>
          <w:b w:val="0"/>
          <w:color w:val="7F7F7F"/>
          <w:sz w:val="18"/>
        </w:rPr>
        <w:t>课程内部执行基准｜核心知识可追溯｜案例均为公开信息或教学虚构</w:t>
      </w:r>
    </w:p>
    <w:p>
      <w:r>
        <w:br w:type="page"/>
      </w: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一、V4调整结论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7FB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324" w:lineRule="auto"/>
            </w:pPr>
            <w:r>
              <w:rPr>
                <w:rFonts w:ascii="PingFang SC" w:hAnsi="PingFang SC" w:eastAsia="PingFang SC"/>
                <w:b w:val="0"/>
                <w:color w:val="2F5597"/>
                <w:sz w:val="21"/>
              </w:rPr>
              <w:br/>
              <w:t xml:space="preserve">    V4正式采用“先获得具体体验，再完成综合判断”的教学顺序：岗位与大模型基础之后，连续完成 Prompt、Workflow、RAG、Agent 的最小认知和操作，再进入场景选择、MVP、PRD、Demo、评测、治理、成本和立项。</w:t>
              <w:br/>
              <w:t xml:space="preserve">  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V3安排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V4调整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调整原因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第3课先讲场景判断与产品形态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第3课改为Workflow类AI产品设计与实操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学员尚未实际接触Workflow、RAG、Agent时，形态判断容易停留在名词比较，课程显得抽象。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Workflow、RAG、Agent位于第5-7课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提前到第3-5课，形成连续的三种最小产品闭环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先让学员看见“固定流程、知识获取、自主工具调用”的真实差异，再讨论选择。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第3课承担第一次场景判断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第6课升级为“场景判断、产品形态与MVP选择”综合课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场景判断不是删除，而是在学员有具体经验后做综合决策，深度和可信度更高。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第4课讲PRD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PRD移动到第7课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先明确场景、能力组合和MVP，再写PRD，避免先写文档、后补方案。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知乎Workflow/RAG专题仍标记“后续补强”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纳入知乎技术先修课第4-10节的原文DOCX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新材料已经到位；本地PPTX为空白文件，不作为来源，只使用可检索的原文DOCX。</w:t>
            </w:r>
          </w:p>
        </w:tc>
      </w:tr>
    </w:tbl>
    <w:p>
      <w:pPr>
        <w:spacing w:after="0"/>
      </w:pP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二、阶段定位与学习结果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7FB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324" w:lineRule="auto"/>
            </w:pPr>
            <w:r>
              <w:rPr>
                <w:rFonts w:ascii="PingFang SC" w:hAnsi="PingFang SC" w:eastAsia="PingFang SC"/>
                <w:b w:val="0"/>
                <w:color w:val="2F5597"/>
                <w:sz w:val="21"/>
              </w:rPr>
              <w:br/>
              <w:t xml:space="preserve">    面向初级产品经理和希望转向AI方向的同学，建立AI应用产品经理的完整工作链路：能解释核心概念，能搭出最小产物，能判断场景与产品形态，能写方案与PRD，能设计测试、治理、成本和试点计划，并为第二阶段项目营准备立项方案。</w:t>
              <w:br/>
              <w:t xml:space="preserve">  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PingFang SC" w:hAnsi="PingFang SC" w:eastAsia="PingFang SC"/>
          <w:b w:val="0"/>
          <w:color w:val="222222"/>
          <w:sz w:val="21"/>
        </w:rPr>
        <w:t>本阶段不培养算法工程师，也不把课程变成单一工具训练营。学员最终应达到：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</w:rPr>
        <w:t>用产品语言解释大模型、Prompt、Workflow、RAG、Agent及其边界；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</w:rPr>
        <w:t>完成至少一个Prompt方案、一个Workflow、一个最小知识库和一个可演示Demo；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</w:rPr>
        <w:t>能从业务问题推导AI介入点、能力组合、MVP、风险与验收要求；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</w:rPr>
        <w:t>能设计测试集、Bad Case闭环、人工接管、权限与成本测算；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</w:rPr>
        <w:t>完成一份可进入第二阶段的AI产品立项方案。</w:t>
      </w: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三、教学设计原则</w:t>
      </w:r>
    </w:p>
    <w:p>
      <w:pPr>
        <w:pStyle w:val="ListNumber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体系化但不过度技术化：</w:t>
      </w:r>
      <w:r>
        <w:rPr>
          <w:rFonts w:ascii="PingFang SC" w:hAnsi="PingFang SC" w:eastAsia="PingFang SC"/>
          <w:b w:val="0"/>
          <w:color w:val="222222"/>
          <w:sz w:val="21"/>
        </w:rPr>
        <w:t>解释技术链路与产品含义，不推导Transformer、向量计算或训练算法。</w:t>
      </w:r>
    </w:p>
    <w:p>
      <w:pPr>
        <w:pStyle w:val="ListNumber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每课有可验收产出：</w:t>
      </w:r>
      <w:r>
        <w:rPr>
          <w:rFonts w:ascii="PingFang SC" w:hAnsi="PingFang SC" w:eastAsia="PingFang SC"/>
          <w:b w:val="0"/>
          <w:color w:val="222222"/>
          <w:sz w:val="21"/>
        </w:rPr>
        <w:t>概念必须落到设计单、测试记录、流程图、原型或立项材料。</w:t>
      </w:r>
    </w:p>
    <w:p>
      <w:pPr>
        <w:pStyle w:val="ListNumber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先业务逻辑，后平台操作：</w:t>
      </w:r>
      <w:r>
        <w:rPr>
          <w:rFonts w:ascii="PingFang SC" w:hAnsi="PingFang SC" w:eastAsia="PingFang SC"/>
          <w:b w:val="0"/>
          <w:color w:val="222222"/>
          <w:sz w:val="21"/>
        </w:rPr>
        <w:t>工具用于验证方案，不用按钮记忆替代产品判断。</w:t>
      </w:r>
    </w:p>
    <w:p>
      <w:pPr>
        <w:pStyle w:val="ListNumber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参考课程可追溯：</w:t>
      </w:r>
      <w:r>
        <w:rPr>
          <w:rFonts w:ascii="PingFang SC" w:hAnsi="PingFang SC" w:eastAsia="PingFang SC"/>
          <w:b w:val="0"/>
          <w:color w:val="222222"/>
          <w:sz w:val="21"/>
        </w:rPr>
        <w:t>核心知识点必须标明来源文件和段落；课程重组、教学案例和平台时效内容分别标注。</w:t>
      </w:r>
    </w:p>
    <w:p>
      <w:pPr>
        <w:pStyle w:val="ListNumber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核心、扩展、加餐分级：</w:t>
      </w:r>
      <w:r>
        <w:rPr>
          <w:rFonts w:ascii="PingFang SC" w:hAnsi="PingFang SC" w:eastAsia="PingFang SC"/>
          <w:b w:val="0"/>
          <w:color w:val="222222"/>
          <w:sz w:val="21"/>
        </w:rPr>
        <w:t>内容丰富度服务于课程吸引力，但不挤压核心练习。</w:t>
      </w:r>
    </w:p>
    <w:p>
      <w:pPr>
        <w:pStyle w:val="ListNumber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案例安全：</w:t>
      </w:r>
      <w:r>
        <w:rPr>
          <w:rFonts w:ascii="PingFang SC" w:hAnsi="PingFang SC" w:eastAsia="PingFang SC"/>
          <w:b w:val="0"/>
          <w:color w:val="222222"/>
          <w:sz w:val="21"/>
        </w:rPr>
        <w:t>本地生活、客服、销售、金融等案例均基于公开信息或教学虚构，不表述为任何真实公司的内部项目。</w:t>
      </w: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四、课程结构总览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模块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课次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主题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核心产出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认知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0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课程说明会、AI时代背景、学习地图与首次场景思考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学习目标、场景思考卡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认知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AI产品经理岗位认知与转型路径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岗位方向卡、转型路线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基础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大模型基础、上下文与Prompt产品化设计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Prompt产品化设计单、测试记录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编排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Workflow类AI产品设计：从一次调用到可运行流程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流程图、可运行Workflow、测试记录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知识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RAG与企业知识库产品设计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RAG架构、最小知识库、治理表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下一课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行动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Agent与工具调用产品设计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Agent设计表、受控工具演示记录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待生产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判断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6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AI场景判断、产品形态与MVP选择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场景适配表、能力组合、MVP边界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待生产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方案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AI产品需求分析与PRD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AI PRD骨架、验收清单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待生产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表达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8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AI产品交互、原型与Vibe Coding Demo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状态表、原型、Demo与演示脚本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待生产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验证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9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AI产品测试、指标与Bad Case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测试集、指标树、复测记录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待生产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治理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10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幻觉治理、权限与人机协作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风险矩阵、权限表、兜底流程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待生产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经营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11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模型选择、Token成本与ROI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模型选型表、成本与试点ROI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待生产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收口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12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AI产品立项、落地避坑与阶段答辩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立项方案、五分钟答辩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待生产</w:t>
            </w:r>
          </w:p>
        </w:tc>
      </w:tr>
    </w:tbl>
    <w:p>
      <w:pPr>
        <w:spacing w:after="0"/>
      </w:pP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五、贯穿学习链路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阶段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关键问题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代表产物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第0-2课：建立认知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我为什么学、岗位需要什么、模型一次怎样处理输入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学习目标、岗位方向、Prompt设计单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第3-5课：认识三种系统能力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固定流程怎样运行、知识怎样进入、模型怎样调用工具行动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Workflow、RAG知识库、Agent设计表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第6-8课：从能力回到产品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什么值得做、第一版做什么、怎样写PRD并做出Demo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场景适配表、MVP、PRD、Demo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第9-11课：验证与经营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效果怎样证明、风险怎样控制、成本是否值得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测试集、风险矩阵、ROI表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第12课：立项收口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怎样把业务、方案、评估、风险和资源讲成可推进计划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AI产品立项方案</w:t>
            </w:r>
          </w:p>
        </w:tc>
      </w:tr>
    </w:tbl>
    <w:p>
      <w:pPr>
        <w:spacing w:after="0"/>
      </w:pP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六、轻量工具操作副线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7FB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0" w:line="324" w:lineRule="auto"/>
            </w:pPr>
            <w:r>
              <w:rPr>
                <w:rFonts w:ascii="PingFang SC" w:hAnsi="PingFang SC" w:eastAsia="PingFang SC"/>
                <w:b w:val="0"/>
                <w:color w:val="2F5597"/>
                <w:sz w:val="21"/>
              </w:rPr>
              <w:br/>
              <w:t xml:space="preserve">    工具操作的目标是把产品判断变成可运行、可测试、可修改的最小产物。每个操作点只选择一条主路线；工具界面和套餐会变化，开课前以讲师实测为准。</w:t>
              <w:br/>
              <w:t xml:space="preserve">  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 w:val="true"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课程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必做操作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主工具建议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最低产出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建议时长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第2课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用同一组样本测试两个Prompt版本，记录失败与修改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任一主流通用大模型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Prompt测试记录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10-15分钟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第3课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搭出“输入→模型分类→条件分支→安全输出”的最小流程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Coze；Dify可作备选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可运行Workflow＋5条测试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25-35分钟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第4课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导入2-3份教学文档，完成检索、引用、无答案和冲突测试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沿用第3课平台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最小知识库＋5条测试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20-30分钟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第5课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老师演示Agent调用一个受控工具，展示参数、确认、失败和接管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Coze或其他稳定平台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Agent执行记录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15-20分钟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第7课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用AI辅助形成访谈提纲、需求结构和PRD初稿，再由学员校正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通用大模型或Deep Research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修改前后对照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10-15分钟</w:t>
            </w:r>
          </w:p>
        </w:tc>
      </w:tr>
      <w:tr>
        <w:trPr>
          <w:cantSplit/>
        </w:trPr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第8课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根据产品说明生成Demo，完成页面修改、异常状态和结果检查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V0、Claude Code、Codex或Cursor四选一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可演示Demo＋修改记录</w:t>
            </w:r>
          </w:p>
        </w:tc>
        <w:tc>
          <w:tcPr>
            <w:tcW w:type="dxa" w:w="197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25-30分钟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PingFang SC" w:hAnsi="PingFang SC" w:eastAsia="PingFang SC"/>
          <w:b w:val="0"/>
          <w:color w:val="555555"/>
          <w:sz w:val="18"/>
        </w:rPr>
        <w:t>执行边界：不要求学员同时掌握全部工具；涉及本地文件、代码、外部系统和公司数据时，必须说明权限、脱敏、确认和回滚范围。</w:t>
      </w: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七、逐课详细设计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第0课｜课程说明会、AI时代背景、学习地图与首次场景思考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为什么要系统学习AI产品，三阶段分别解决什么，第一次怎样观察工作中的AI机会。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课程初心；AI产品经理不等于AI工具产品经理；AI、机器学习、NLP、AIGC、大模型的关系与发展；三阶段路径；学习边界和课程更新说明。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销售拜访记录助手：不直接给方案，先分析用户、任务、输入输出和价值。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个人学习目标＋第一次AI场景思考卡。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知乎《开班典礼》；本课程已确认的课程设计与案例材料。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只建立地图，不提前讲透Prompt、Workflow、RAG和Agent。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第1课｜AI产品经理岗位认知与转型路径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AI产品经理实际做什么，传统产品能力怎样迁移，个人适合走什么方向。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岗位定义；传统PM新增职责；To B、To C、平台、解决方案等岗位原型；能力模型；转型路线。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真实JD拆解；现场分析3-5名学员的经历和方向。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岗位方向卡、个人转型定位句和能力补齐计划。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亚慧第1课；知乎正课第2、8、18课；开课当周真实JD。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不承诺岗位或Offer；现场建议必须说明依据和待验证项。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第2课｜大模型基础、上下文与Prompt产品化设计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大模型怎样生成，模型一次能看到什么，怎样把个人Prompt变成可重复使用的产品方案。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Token、上下文、概率性生成；最低必要的大模型心智模型；从目标输出反推上下文；结构化Prompt；System与User输入分工；Prompt产品化；Bad Case初筛。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销售拜访记录助手：从模糊指令升级到字段、规则、模板和确认机制。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4DFEC"/>
        </w:rPr>
        <w:t>操作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同一组样本运行两个Prompt版本，记录输入、输出、问题和修改。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Prompt产品化设计单、样本测试记录。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亚慧《大模型技术原理与训练过程》；知乎正课《大模型产品构建方法》；知乎技术先修课第1、2节原文。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Transformer和训练路径只做可选背景；不把Prompt描述成万能治理手段。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第3课｜Workflow类AI产品设计：从一次调用到可运行流程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当任务需要多步骤、条件分流和安全边界时，怎样从人工SOP设计可运行Workflow。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Workflow与单次Prompt；输出和输入；节点、连线、变量、分支、输出；模型节点与确定性节点；最小闭环；测试与逐节点排错。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商家咨询分流助手：RULE、DATA、COMPLAINT、OTHER四条路径。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4DFEC"/>
        </w:rPr>
        <w:t>操作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Coze中完成纸面V0.1、单路V0.2和四路V0.3；运行5条测试并修复一个接口Bad Case。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流程图、可运行Workflow、测试与修正记录。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知乎技术先修课第4、5、6、15节原文；知乎正课第7、19课；亚慧智能客服与Agent材料。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本课不接RAG、真实API、数据库、循环、复杂子流程和Agent。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第4课｜RAG与企业知识库产品设计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当答案必须基于企业知识、需要更新并提供依据时，怎样设计RAG知识库产品。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RAG解决的问题与边界；文档采集、解析、切片、索引、检索、重排、生成和引用；知识版本、权限、更新、无答案、冲突和反馈。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将第3课RULE分支从固定规则卡升级为商家规则知识库；对比知识问题和实时业务数据。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4DFEC"/>
        </w:rPr>
        <w:t>操作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导入2-3份教学虚构文档，测试3条命中、1条无答案、1条冲突问题；观察检索结果和引用。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RAG处理链路、知识来源与治理表、最小知识库和测试记录。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知乎技术先修课第7、8节原文；知乎正课第7课；亚慧RAG、智能客服和金融文档项目材料。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不推导Embedding数学，不深入Graph RAG和大规模检索工程；RAG不能查询实时交易事实。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第5课｜Agent与工具调用产品设计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什么时候需要模型根据目标决定下一步，怎样让Agent安全地使用工具而不是自由行动。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目标、规划、记忆、工具、观察与反馈；Agent、Chatbot和Workflow的区别；Function Calling；工具描述和参数；权限、执行前确认、失败处理和人工接管。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商家经营助理：在规则知识、经营数据和创建活动草稿之间选择能力；高风险动作必须确认。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4DFEC"/>
        </w:rPr>
        <w:t>操作演示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Agent调用一个受控工具；展示正确参数、缺失参数追问、工具报错和人工接管。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Agent角色与目标、工具清单、权限边界、执行状态设计表。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知乎技术先修课第3、6、9、10节原文；知乎正课第9-11、19课；亚慧第5、12课。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Multi-Agent、MCP和长期记忆作为扩展；不把所有复杂流程都升级成Agent。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第6课｜AI场景判断、产品形态与MVP选择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在已经理解Prompt、Workflow、RAG和Agent之后，怎样从业务问题推导正确组合，而不是追逐热门技术。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业务价值、任务匹配、数据条件、风险验收、成本收益；规则、人工和AI基线比较；体验层与任务完成层；Prompt、Workflow、RAG、数据工具、Agent的组合；MVP范围。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规则问答、实时数据查询、材料审核、内容生成和复杂排查的形态选择。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课堂练习：</w:t>
      </w:r>
      <w:r>
        <w:rPr>
          <w:rFonts w:ascii="PingFang SC" w:hAnsi="PingFang SC" w:eastAsia="PingFang SC"/>
          <w:b w:val="0"/>
          <w:color w:val="222222"/>
          <w:sz w:val="21"/>
        </w:rPr>
        <w:t>为同一商家运营场景写“选择什么、不选什么、人工边界、最大待验证项”。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五维场景适配表、产品能力组合图和MVP范围。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知乎正课第3-17课的产品案例；亚慧第6、8课；本课程第2-5课的实际产物。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不再重复四种技术的基础定义；本课重点是证据、取舍和组合。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第7课｜AI产品需求分析与PRD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怎样把一个AI机会写成产品、算法、数据和业务团队都能评审的需求方案。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用户与业务目标；现状SOP与痛点证据；AI介入点；输入输出；能力组合；数据与知识依赖；正常、异常、拒答和人工路径；验收指标；版本范围。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商家知识运营助手或会议/客服场景的AI PRD。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4DFEC"/>
        </w:rPr>
        <w:t>操作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用AI辅助生成访谈提纲和PRD初稿；学员必须识别假设、删除虚构信息并补全边界。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AI PRD骨架、节点级输入输出表、异常与验收清单。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知乎正课第19课；亚慧复杂B端项目与金融文档PRD；传统产品需求分析方法。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AI不能替代真实调研证据；不把模型生成的PRD直接视为需求事实。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第8课｜AI产品交互、原型与Vibe Coding Demo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AI结果具有等待、波动和失败，怎样设计用户可理解、可编辑、可恢复的交互，并快速做出可演示Demo。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输入引导、流式输出、加载状态、引用、编辑、采用、重试、拒答、反馈、人工接管和操作确认；Demo与正式产品的差别。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知识助手或商家经营助手核心页面与异常状态。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4DFEC"/>
        </w:rPr>
        <w:t>操作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从产品说明生成Demo，完成一次需求修改、一个异常状态和一次结果验收。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AI状态表、核心原型、三分钟演示脚本和Demo修改记录。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知乎正课第9-11、19课产品案例；现有AI产品交互案例；工具步骤以开课前官方资料和讲师实测为准。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不要求零基础学员从空白写代码；Claude Code、Codex等只作为实现手段，不构成课程主线。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第9课｜AI产品测试、指标与Bad Case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怎样证明AI产品有效，怎样把失败样本转化为可定位、可复测的改进任务。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测试集与金标；典型、边界、对抗和无答案样本；效果、系统、体验和业务四层指标；错误分类；版本对照；复测闭环。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Workflow路由准确性、RAG召回与忠实度、Agent工具成功率的专项测试。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课堂练习：</w:t>
      </w:r>
      <w:r>
        <w:rPr>
          <w:rFonts w:ascii="PingFang SC" w:hAnsi="PingFang SC" w:eastAsia="PingFang SC"/>
          <w:b w:val="0"/>
          <w:color w:val="222222"/>
          <w:sz w:val="21"/>
        </w:rPr>
        <w:t>为问答、分类或抽取功能设计10条测试，并把3个Bad Case定位到Prompt、知识、流程、工具或产品边界。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测试集、指标树、Bad Case台账和复测记录。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亚慧测试与复杂项目材料；知乎正课案例中的测试环节；知乎技术先修课实践原文。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不把单次Demo成功当准确率；LLM-as-Judge只作扩展并说明其局限。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第10课｜幻觉治理、权限与人机协作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AI为什么会给出看似合理但不可靠的结果，怎样按风险设计证据、权限、规则和人工接管。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幻觉定义与常见来源；知识缺失、检索错误、指令冲突和工具错误的区别；风险分级；引用溯源；规则校验；权限最小化；操作确认；人工复核和审计。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客服赔付、材料审核、金融/医疗/政务等不同风险等级。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课堂练习：</w:t>
      </w:r>
      <w:r>
        <w:rPr>
          <w:rFonts w:ascii="PingFang SC" w:hAnsi="PingFang SC" w:eastAsia="PingFang SC"/>
          <w:b w:val="0"/>
          <w:color w:val="222222"/>
          <w:sz w:val="21"/>
        </w:rPr>
        <w:t>为同一功能设计正常、拒答、转人工、确认和回滚路径。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风险矩阵、权限与确认表、人机协作流程。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大模型基础材料中的幻觉定义；知乎正课第7、15课；亚慧金融文档、核查、审核和客服转人工材料。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第2、4、5课会提前出现局部风险，本课负责系统治理，不重复基础操作。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第11课｜模型选择、Token成本与ROI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怎样选择够用的模型和架构，计算真实成本，并判断试点是否值得继续。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基于任务和测试集选型；效果、时延、稳定性、上下文、工具能力和合规；API与私有部署基础；Token和调用成本；数据、开发、运营、人工复核成本；效率和业务收益；试点ROI。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分类节点用轻模型、复杂生成用强模型；缓存和路由；RAG、微调和长上下文的选择。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课堂练习：</w:t>
      </w:r>
      <w:r>
        <w:rPr>
          <w:rFonts w:ascii="PingFang SC" w:hAnsi="PingFang SC" w:eastAsia="PingFang SC"/>
          <w:b w:val="0"/>
          <w:color w:val="222222"/>
          <w:sz w:val="21"/>
        </w:rPr>
        <w:t>比较两个候选模型，估算单次任务成本、月度成本和盈亏平衡点。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模型选型记录、成本清单和试点ROI表。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亚慧模型选型、成本和商业化材料；知乎企业架构与案例课程；开课当周官方模型资料。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模型价格和规格高度时效化，课堂必须标注日期；不承诺精确业务收益。</w:t>
      </w:r>
    </w:p>
    <w:p>
      <w:pPr>
        <w:keepNext/>
        <w:spacing w:before="200" w:after="100"/>
      </w:pPr>
      <w:r>
        <w:rPr>
          <w:rFonts w:ascii="PingFang SC" w:hAnsi="PingFang SC" w:eastAsia="PingFang SC"/>
          <w:b/>
          <w:color w:val="2F5597"/>
          <w:sz w:val="27"/>
        </w:rPr>
        <w:t>第12课｜AI产品立项、落地避坑与阶段答辩</w:t>
      </w:r>
    </w:p>
    <w:p>
      <w:pPr>
        <w:spacing w:after="100" w:line="324" w:lineRule="auto"/>
      </w:pPr>
      <w:r>
        <w:rPr>
          <w:rFonts w:ascii="PingFang SC" w:hAnsi="PingFang SC" w:eastAsia="PingFang SC"/>
          <w:b/>
          <w:color w:val="222222"/>
          <w:sz w:val="21"/>
        </w:rPr>
        <w:t>核心问题：</w:t>
      </w:r>
      <w:r>
        <w:rPr>
          <w:rFonts w:ascii="PingFang SC" w:hAnsi="PingFang SC" w:eastAsia="PingFang SC"/>
          <w:b w:val="0"/>
          <w:color w:val="222222"/>
          <w:sz w:val="21"/>
        </w:rPr>
        <w:t>怎样把前11课的产出收成一个可评审、可试点、可进入第二阶段的项目方案。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E2F0D9"/>
        </w:rPr>
        <w:t>核心必讲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业务问题与基线；用户和场景；方案与MVP；知识、数据和系统依赖；测试指标；风险和权限；成本和资源；排期、负责人、试点和复盘机制。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  <w:shd w:fill="FFF2CC"/>
        </w:rPr>
        <w:t>案例扩展</w:t>
      </w:r>
      <w:r>
        <w:rPr>
          <w:rFonts w:ascii="PingFang SC" w:hAnsi="PingFang SC" w:eastAsia="PingFang SC"/>
          <w:b w:val="0"/>
          <w:color w:val="222222"/>
          <w:sz w:val="21"/>
        </w:rPr>
        <w:t xml:space="preserve"> 从Demo到生产的常见失败：数据未准备、指标不闭环、责任不清、过度自动化、无运营机制。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课堂练习：</w:t>
      </w:r>
      <w:r>
        <w:rPr>
          <w:rFonts w:ascii="PingFang SC" w:hAnsi="PingFang SC" w:eastAsia="PingFang SC"/>
          <w:b w:val="0"/>
          <w:color w:val="222222"/>
          <w:sz w:val="21"/>
        </w:rPr>
        <w:t>五分钟立项答辩；同学按业务、AI、评估、风险和价值五个维度点评。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课堂产出：</w:t>
      </w:r>
      <w:r>
        <w:rPr>
          <w:rFonts w:ascii="PingFang SC" w:hAnsi="PingFang SC" w:eastAsia="PingFang SC"/>
          <w:b w:val="0"/>
          <w:color w:val="222222"/>
          <w:sz w:val="21"/>
        </w:rPr>
        <w:t>AI产品立项方案、答辩稿和第二阶段项目候选。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来源：</w:t>
      </w:r>
      <w:r>
        <w:rPr>
          <w:rFonts w:ascii="PingFang SC" w:hAnsi="PingFang SC" w:eastAsia="PingFang SC"/>
          <w:b w:val="0"/>
          <w:color w:val="222222"/>
          <w:sz w:val="21"/>
        </w:rPr>
        <w:t>前11课综合；知乎需求分析与企业案例；亚慧复杂B端项目。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/>
          <w:color w:val="222222"/>
          <w:sz w:val="21"/>
        </w:rPr>
        <w:t>边界：</w:t>
      </w:r>
      <w:r>
        <w:rPr>
          <w:rFonts w:ascii="PingFang SC" w:hAnsi="PingFang SC" w:eastAsia="PingFang SC"/>
          <w:b w:val="0"/>
          <w:color w:val="222222"/>
          <w:sz w:val="21"/>
        </w:rPr>
        <w:t>案例只使用公开信息或教学假设，不包装成未公开的真实公司项目。</w:t>
      </w: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八、贯穿案例设计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案例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贯穿位置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递进方式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商家咨询与知识运营助手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第3-12课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Workflow分流 → RAG规则知识 → Agent工具调用 → 场景与MVP → PRD → Demo → 测试 → 治理 → 成本 → 立项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销售拜访记录助手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第0、2、6、7、9课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首次场景判断 → Prompt产品化 → 形态再判断 → PRD → 测试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行业迁移案例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第4-11课扩展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金融、教育、电商、营销、医疗、政务和制造用于说明迁移边界，不取代主案例</w:t>
            </w:r>
          </w:p>
        </w:tc>
      </w:tr>
    </w:tbl>
    <w:p>
      <w:pPr>
        <w:spacing w:after="0"/>
      </w:pPr>
    </w:p>
    <w:p>
      <w:pPr>
        <w:spacing w:after="100" w:line="324" w:lineRule="auto"/>
        <w:ind w:left="142" w:right="142"/>
        <w:shd w:fill="FFF2CC"/>
      </w:pPr>
      <w:r>
        <w:rPr>
          <w:rFonts w:ascii="PingFang SC" w:hAnsi="PingFang SC" w:eastAsia="PingFang SC"/>
          <w:b w:val="0"/>
          <w:color w:val="555555"/>
          <w:sz w:val="18"/>
        </w:rPr>
        <w:t>案例说明：</w:t>
      </w:r>
      <w:r>
        <w:rPr>
          <w:rFonts w:ascii="PingFang SC" w:hAnsi="PingFang SC" w:eastAsia="PingFang SC"/>
          <w:b w:val="0"/>
          <w:color w:val="555555"/>
          <w:sz w:val="18"/>
        </w:rPr>
        <w:t>课程中的公司、规则、数据、效果和系统设计均应标记为公开信息、参考课程案例或教学虚构。讲师公开履历可以在个人介绍中表达，但不得让学员误以为教学案例是前公司内部现行项目。</w:t>
      </w: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九、来源体系与生产门槛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来源类别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使用方式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知乎正课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产品架构、行业案例、需求分析、Workflow/RAG/Agent组合与落地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优先使用录音原文DOCX与正常PDF；逐知识点标段落或页码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知乎技术先修课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大模型、Prompt、Workflow、RAG、Agent、Function Calling、MCP和Coze操作补强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本地19份PPTX均为空白，只引用配套原文DOCX，不引用空白PPT页码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智元亚慧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岗位、模型原理、RAG、Agent、智能客服、复杂B端项目、测试和商业化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区分原课观点、案例事实和课程加工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起点课堂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课程覆盖范围和框架侧证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加密视频无法转录时，大纲不能作为详细讲授的唯一来源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官方文档与讲师实测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平台操作、模型能力、价格和时效内容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开课前更新并标注日期，不固化按钮位置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等级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标准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 可生产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核心结论有可检索原文、具体锚点和完整案例；讲师能够复述并回答基础追问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可进入正式课程包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B 可准备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主来源基本覆盖，但平台操作、关键数据或部分专题仍需实测和补证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先做溯源表和教学骨架，补齐后再生成PPT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C 暂缓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主要来源只有标题、计划或无法读取的文件；讲师无法解释核心链路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不生成正式讲义与PPT</w:t>
            </w:r>
          </w:p>
        </w:tc>
      </w:tr>
    </w:tbl>
    <w:p>
      <w:pPr>
        <w:spacing w:after="0"/>
      </w:pP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十、生产优先级与当前状态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优先级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任务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P0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生产第4课RAG完整课程包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第3课已经完成并在课尾明确承接RAG；知乎技术先修课第7、8节原文已到位。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P1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补充第3课来源溯源表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新增知乎技术先修课第4、5、6、15节和亚慧智能客服材料，强化现有课程来源。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P1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生成第5课Agent来源表与结构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先确认工具调用和Agent边界，避免课程与Workflow重复。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P2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重做第6课场景判断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旧第3课可作为素材库，但必须改成学完三种形态后的综合决策课。</w:t>
            </w:r>
          </w:p>
        </w:tc>
      </w:tr>
      <w:tr>
        <w:trPr>
          <w:cantSplit/>
        </w:trP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P2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继续第7-12课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按“方案→表达→验证→治理→经营→立项”顺序生产。</w:t>
            </w:r>
          </w:p>
        </w:tc>
      </w:tr>
    </w:tbl>
    <w:p>
      <w:pPr>
        <w:spacing w:after="0"/>
      </w:pP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十一、售卖表达与标准交付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49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核心卖点</w:t>
            </w:r>
          </w:p>
        </w:tc>
        <w:tc>
          <w:tcPr>
            <w:tcW w:type="dxa" w:w="49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  <w:shd w:fill="D9EAF7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b/>
                <w:color w:val="222222"/>
                <w:sz w:val="18"/>
              </w:rPr>
            </w:r>
            <w:r>
              <w:rPr>
                <w:rFonts w:ascii="PingFang SC" w:hAnsi="PingFang SC" w:eastAsia="PingFang SC"/>
                <w:b/>
                <w:color w:val="222222"/>
                <w:sz w:val="18"/>
              </w:rPr>
              <w:t>标准交付</w:t>
            </w:r>
          </w:p>
        </w:tc>
      </w:tr>
      <w:tr>
        <w:trPr>
          <w:cantSplit/>
        </w:trPr>
        <w:tc>
          <w:tcPr>
            <w:tcW w:type="dxa" w:w="49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从岗位认知到AI产品立项的完整学习链路</w:t>
            </w:r>
          </w:p>
        </w:tc>
        <w:tc>
          <w:tcPr>
            <w:tcW w:type="dxa" w:w="49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第0课＋12次正式课、回放、PPT、老师/学生讲义和课堂模板</w:t>
            </w:r>
          </w:p>
        </w:tc>
      </w:tr>
      <w:tr>
        <w:trPr>
          <w:cantSplit/>
        </w:trPr>
        <w:tc>
          <w:tcPr>
            <w:tcW w:type="dxa" w:w="49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Prompt、Workflow、RAG、Agent连续实操</w:t>
            </w:r>
          </w:p>
        </w:tc>
        <w:tc>
          <w:tcPr>
            <w:tcW w:type="dxa" w:w="49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Prompt记录、可运行Workflow、最小知识库、Agent演示记录</w:t>
            </w:r>
          </w:p>
        </w:tc>
      </w:tr>
      <w:tr>
        <w:trPr>
          <w:cantSplit/>
        </w:trPr>
        <w:tc>
          <w:tcPr>
            <w:tcW w:type="dxa" w:w="49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不只讲工具，强调产品判断与落地</w:t>
            </w:r>
          </w:p>
        </w:tc>
        <w:tc>
          <w:tcPr>
            <w:tcW w:type="dxa" w:w="49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场景适配表、MVP、AI PRD、原型Demo、测试集、风险矩阵和ROI表</w:t>
            </w:r>
          </w:p>
        </w:tc>
      </w:tr>
      <w:tr>
        <w:trPr>
          <w:cantSplit/>
        </w:trPr>
        <w:tc>
          <w:tcPr>
            <w:tcW w:type="dxa" w:w="49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为第二阶段项目营直接准备</w:t>
            </w:r>
          </w:p>
        </w:tc>
        <w:tc>
          <w:tcPr>
            <w:tcW w:type="dxa" w:w="4933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222222"/>
                <w:sz w:val="18"/>
              </w:rPr>
            </w:r>
            <w:r>
              <w:rPr>
                <w:rFonts w:ascii="PingFang SC" w:hAnsi="PingFang SC" w:eastAsia="PingFang SC"/>
                <w:b w:val="0"/>
                <w:color w:val="222222"/>
                <w:sz w:val="18"/>
              </w:rPr>
              <w:t>AI产品立项方案、项目候选和五分钟答辩</w:t>
            </w:r>
          </w:p>
        </w:tc>
      </w:tr>
    </w:tbl>
    <w:p>
      <w:pPr>
        <w:spacing w:after="0"/>
      </w:pPr>
    </w:p>
    <w:p>
      <w:pPr>
        <w:spacing w:after="100" w:line="324" w:lineRule="auto"/>
      </w:pPr>
      <w:r>
        <w:rPr>
          <w:rFonts w:ascii="PingFang SC" w:hAnsi="PingFang SC" w:eastAsia="PingFang SC"/>
          <w:b w:val="0"/>
          <w:color w:val="555555"/>
          <w:sz w:val="18"/>
        </w:rPr>
        <w:t>售卖边界：不承诺Offer、涨薪、上线效果或掌握所有平台；平台和模型能力以实际授课时为准。</w:t>
      </w:r>
    </w:p>
    <w:p>
      <w:pPr>
        <w:keepNext/>
        <w:spacing w:before="300" w:after="140"/>
        <w:pBdr>
          <w:bottom w:val="single" w:sz="10" w:space="4" w:color="5B9BD5"/>
        </w:pBdr>
      </w:pPr>
      <w:r>
        <w:rPr>
          <w:rFonts w:ascii="PingFang SC" w:hAnsi="PingFang SC" w:eastAsia="PingFang SC"/>
          <w:b/>
          <w:color w:val="1F4E79"/>
          <w:sz w:val="32"/>
        </w:rPr>
        <w:t>十二、阶段验收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</w:rPr>
        <w:t>完成个人岗位方向与能力补齐计划；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</w:rPr>
        <w:t>完成Prompt、Workflow、RAG、Agent四类核心设计与操作记录；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</w:rPr>
        <w:t>能为一个场景说明“为什么选择、为什么不选、人工边界和最大待验证项”；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</w:rPr>
        <w:t>完成AI PRD、Demo、测试集、风险矩阵、选型成本和ROI表；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</w:rPr>
        <w:t>完成一份AI产品立项方案并进行五分钟答辩；</w:t>
      </w:r>
    </w:p>
    <w:p>
      <w:pPr>
        <w:pStyle w:val="ListBullet"/>
        <w:spacing w:after="60" w:line="307" w:lineRule="auto"/>
        <w:ind w:left="425" w:hanging="198"/>
      </w:pPr>
      <w:r>
        <w:rPr>
          <w:rFonts w:ascii="PingFang SC" w:hAnsi="PingFang SC" w:eastAsia="PingFang SC"/>
          <w:b w:val="0"/>
          <w:color w:val="222222"/>
          <w:sz w:val="21"/>
        </w:rPr>
        <w:t>确定第二阶段的公共项目、两个方向项目候选和一个主项目方向。</w:t>
      </w:r>
    </w:p>
    <w:p>
      <w:pPr>
        <w:spacing w:after="100" w:line="324" w:lineRule="auto"/>
      </w:pPr>
      <w:r>
        <w:rPr>
          <w:rFonts w:ascii="PingFang SC" w:hAnsi="PingFang SC" w:eastAsia="PingFang SC"/>
          <w:b w:val="0"/>
          <w:color w:val="555555"/>
          <w:sz w:val="18"/>
        </w:rPr>
        <w:t>版本说明：V4.0在V3售卖与交付框架上重排教学顺序，正式对齐已经完成的第3课Workflow课程包，并纳入知乎技术先修课原文。V3文件保留，不覆盖。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7F7F7F"/>
        <w:sz w:val="17"/>
      </w:rPr>
      <w:t xml:space="preserve">执行与售卖版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b w:val="0"/>
        <w:color w:val="7F7F7F"/>
        <w:sz w:val="17"/>
      </w:rPr>
      <w:t>第一阶段 · AI产品经理系统学习班 · V4.0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SC" w:hAnsi="PingFang SC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第一阶段：AI产品经理系统学习班｜V4.0执行与售卖版</dc:title>
  <dc:subject>第0课＋12次正式课的课程总大纲</dc:subject>
  <dc:creator>课程设计团队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