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321"/>
      </w:pPr>
      <w:r>
        <w:rPr>
          <w:rFonts w:ascii="Helvetica Neue" w:hAnsi="Helvetica Neue" w:cs="Helvetica Neue"/>
          <w:sz w:val="48"/>
          <w:sz-cs w:val="48"/>
          <w:b/>
          <w:spacing w:val="0"/>
          <w:color w:val="13284B"/>
        </w:rPr>
        <w:t xml:space="preserve">第 00 课大纲逐项 Check 表 V2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V3 要求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来源卡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教学设计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老师讲义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学员讲义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PPT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练习/作业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状态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课程说明会与学习地图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是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是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是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是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1—3、9—16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作业一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完成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为什么做这门课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OWNER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10—25 分钟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10—25 分钟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第一部分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4—8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学习目标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完成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AI PM 不是工具 PM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Z01/Z02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70—82 分钟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10—25、70—82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第四部分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6—8、24—25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四问练习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完成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第一阶段体系化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OWNER/V3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25—45 分钟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第一阶段讲解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第二部分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10—11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能力自评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完成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第二阶段小组和不同项目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OWNER/V3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25—45 分钟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第二阶段讲解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第二部分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12—14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项目目标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完成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第三阶段简历面试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OWNER/V3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25—45 分钟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第三阶段讲解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第二部分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15—16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学习目标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完成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动态更新说明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Z01/OWNER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45—55 分钟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45—55 分钟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第三部分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17—19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无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完成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讲师能力边界与纠错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OWNER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45—55 分钟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45—55 分钟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第三部分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17、20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无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完成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学习机制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Z01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55—70 分钟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55—70 分钟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第三部分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21—23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两项作业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完成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热门概念地图预告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V3/多来源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82—100 分钟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82—100 分钟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第五部分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26—28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无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完成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第一次场景思考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Z07/教学组织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100—112 分钟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100—112 分钟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第六部分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29—30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课堂练习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完成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个人能力与目标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OWNER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112—120 分钟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作业说明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学习目标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32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作业一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完成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不深入完整五步法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边界说明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已控制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已删除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已删除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已删除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已简化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完成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发布前最终检查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[ ] 所有课程包文件标记为 V2；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[ ] 正式 PPT 已按照 32 页新大纲更新；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[ ] DOCX 已由最新 Markdown 重新生成；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[ ] 不含当前公司、滴滴租车或未公开内部信息；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[ ] 本地生活案例均标记为公开信息与教学假设；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[ ] 旧版压缩包未作为新版本误发。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