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60"/>
      </w:pPr>
      <w:r>
        <w:rPr>
          <w:rFonts w:ascii="Calibri" w:hAnsi="Calibri" w:eastAsia="PingFang SC"/>
          <w:b/>
          <w:color w:val="2E74B5"/>
          <w:sz w:val="20"/>
        </w:rPr>
        <w:t>产品需求文档 · PRD</w:t>
      </w:r>
    </w:p>
    <w:p>
      <w:pPr>
        <w:spacing w:before="40" w:after="100"/>
      </w:pPr>
      <w:r>
        <w:rPr>
          <w:rFonts w:ascii="Calibri" w:hAnsi="Calibri" w:eastAsia="PingFang SC"/>
          <w:b/>
          <w:color w:val="172B4D"/>
          <w:sz w:val="52"/>
        </w:rPr>
        <w:t>商品对比工具</w:t>
      </w:r>
    </w:p>
    <w:p>
      <w:pPr>
        <w:spacing w:after="360"/>
      </w:pPr>
      <w:r>
        <w:rPr>
          <w:rFonts w:ascii="Calibri" w:hAnsi="Calibri" w:eastAsia="PingFang SC"/>
          <w:color w:val="667085"/>
          <w:sz w:val="26"/>
        </w:rPr>
        <w:t>帮助用户更快看懂差异、收敛候选并完成购买决策</w:t>
      </w:r>
    </w:p>
    <w:p>
      <w:pPr>
        <w:spacing w:after="60"/>
      </w:pPr>
      <w:r>
        <w:rPr>
          <w:rFonts w:ascii="Calibri" w:hAnsi="Calibri" w:eastAsia="PingFang SC"/>
          <w:b/>
          <w:color w:val="172B4D"/>
          <w:sz w:val="21"/>
        </w:rPr>
        <w:t>文档版本：</w:t>
      </w:r>
      <w:r>
        <w:rPr>
          <w:rFonts w:ascii="Calibri" w:hAnsi="Calibri" w:eastAsia="PingFang SC"/>
          <w:color w:val="344054"/>
          <w:sz w:val="21"/>
        </w:rPr>
        <w:t>V1.0</w:t>
      </w:r>
    </w:p>
    <w:p>
      <w:pPr>
        <w:spacing w:after="60"/>
      </w:pPr>
      <w:r>
        <w:rPr>
          <w:rFonts w:ascii="Calibri" w:hAnsi="Calibri" w:eastAsia="PingFang SC"/>
          <w:b/>
          <w:color w:val="172B4D"/>
          <w:sz w:val="21"/>
        </w:rPr>
        <w:t>文档状态：</w:t>
      </w:r>
      <w:r>
        <w:rPr>
          <w:rFonts w:ascii="Calibri" w:hAnsi="Calibri" w:eastAsia="PingFang SC"/>
          <w:color w:val="344054"/>
          <w:sz w:val="21"/>
        </w:rPr>
        <w:t>评审稿</w:t>
      </w:r>
    </w:p>
    <w:p>
      <w:pPr>
        <w:spacing w:after="60"/>
      </w:pPr>
      <w:r>
        <w:rPr>
          <w:rFonts w:ascii="Calibri" w:hAnsi="Calibri" w:eastAsia="PingFang SC"/>
          <w:b/>
          <w:color w:val="172B4D"/>
          <w:sz w:val="21"/>
        </w:rPr>
        <w:t>产品阶段：</w:t>
      </w:r>
      <w:r>
        <w:rPr>
          <w:rFonts w:ascii="Calibri" w:hAnsi="Calibri" w:eastAsia="PingFang SC"/>
          <w:color w:val="344054"/>
          <w:sz w:val="21"/>
        </w:rPr>
        <w:t>MVP → 增强版</w:t>
      </w:r>
    </w:p>
    <w:p>
      <w:pPr>
        <w:spacing w:after="60"/>
      </w:pPr>
      <w:r>
        <w:rPr>
          <w:rFonts w:ascii="Calibri" w:hAnsi="Calibri" w:eastAsia="PingFang SC"/>
          <w:b/>
          <w:color w:val="172B4D"/>
          <w:sz w:val="21"/>
        </w:rPr>
        <w:t>适用端：</w:t>
      </w:r>
      <w:r>
        <w:rPr>
          <w:rFonts w:ascii="Calibri" w:hAnsi="Calibri" w:eastAsia="PingFang SC"/>
          <w:color w:val="344054"/>
          <w:sz w:val="21"/>
        </w:rPr>
        <w:t>Web / H5 / App</w:t>
      </w:r>
    </w:p>
    <w:p>
      <w:pPr>
        <w:spacing w:after="60"/>
      </w:pPr>
      <w:r>
        <w:rPr>
          <w:rFonts w:ascii="Calibri" w:hAnsi="Calibri" w:eastAsia="PingFang SC"/>
          <w:b/>
          <w:color w:val="172B4D"/>
          <w:sz w:val="21"/>
        </w:rPr>
        <w:t>更新时间：</w:t>
      </w:r>
      <w:r>
        <w:rPr>
          <w:rFonts w:ascii="Calibri" w:hAnsi="Calibri" w:eastAsia="PingFang SC"/>
          <w:color w:val="344054"/>
          <w:sz w:val="21"/>
        </w:rPr>
        <w:t>2026-08-09</w:t>
      </w:r>
    </w:p>
    <w:p>
      <w:pPr>
        <w:spacing w:after="60"/>
      </w:pPr>
      <w:r>
        <w:rPr>
          <w:rFonts w:ascii="Calibri" w:hAnsi="Calibri" w:eastAsia="PingFang SC"/>
          <w:b/>
          <w:color w:val="172B4D"/>
          <w:sz w:val="21"/>
        </w:rPr>
        <w:t>责任人：</w:t>
      </w:r>
      <w:r>
        <w:rPr>
          <w:rFonts w:ascii="Calibri" w:hAnsi="Calibri" w:eastAsia="PingFang SC"/>
          <w:color w:val="344054"/>
          <w:sz w:val="21"/>
        </w:rPr>
        <w:t>产品 / 设计 / 研发 / 测试 / 数据：待定</w:t>
      </w:r>
    </w:p>
    <w:p>
      <w:pPr>
        <w:spacing w:before="240" w:after="320"/>
        <w:pBdr>
          <w:bottom w:val="single" w:sz="14" w:space="6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9D6EA"/>
          <w:left w:val="single" w:sz="8" w:space="0" w:color="B9D6EA"/>
          <w:bottom w:val="single" w:sz="8" w:space="0" w:color="B9D6EA"/>
          <w:right w:val="single" w:sz="8" w:space="0" w:color="B9D6EA"/>
          <w:insideH w:val="single" w:sz="8" w:space="0" w:color="B9D6EA"/>
          <w:insideV w:val="single" w:sz="8" w:space="0" w:color="B9D6EA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before="60" w:after="60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核心主张</w:t>
            </w:r>
          </w:p>
          <w:p>
            <w:pPr>
              <w:spacing w:after="40"/>
            </w:pPr>
            <w:r>
              <w:rPr>
                <w:rFonts w:ascii="Calibri" w:hAnsi="Calibri" w:eastAsia="PingFang SC"/>
                <w:b w:val="0"/>
                <w:color w:val="202124"/>
                <w:sz w:val="21"/>
              </w:rPr>
              <w:t>通过统一属性口径、突出关键差异并连接实时购买信息，把多页面的信息搜集任务变成一次可解释、可行动的横向决策。</w:t>
            </w:r>
          </w:p>
        </w:tc>
      </w:tr>
    </w:tbl>
    <w:p>
      <w:pPr>
        <w:spacing w:before="360" w:after="100"/>
      </w:pPr>
      <w:r>
        <w:rPr>
          <w:rFonts w:ascii="Calibri" w:hAnsi="Calibri" w:eastAsia="PingFang SC"/>
          <w:b/>
          <w:color w:val="172B4D"/>
          <w:sz w:val="22"/>
        </w:rPr>
        <w:t>阅读指南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产品评审：重点阅读第 1–6、14、19 节。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研发与测试：重点阅读第 6–10、14–16 节。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数据与运营：重点阅读第 2、7、11–13、17 节。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0. 文档说明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0.1 需求来源</w:t>
      </w:r>
    </w:p>
    <w:p>
      <w:r>
        <w:rPr>
          <w:rFonts w:ascii="Calibri" w:hAnsi="Calibri" w:eastAsia="PingFang SC"/>
          <w:b w:val="0"/>
          <w:sz w:val="21"/>
        </w:rPr>
        <w:t>电商平台希望建设商品对比工具，帮助用户在多个候选商品之间快速理解关键差异、降低信息搜集与记忆成本，并更快完成购买决策。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0.2 前置假设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平台拥有商品、SKU、价格、促销、库存、履约、评价与类目属性等基础数据。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首期优先覆盖参数相对标准化、比较诉求强的同一叶子类目，如手机、电脑、家电、数码设备等。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商品详情页、搜索/列表页、收藏或购物车可提供对比入口。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用户既可能未登录，也可能已登录；未登录状态使用本地会话保存，登录后支持跨端同步。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本文中的目标值是首版建议基线，立项后应结合平台现状、流量规模和历史漏斗校准。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0.3 名词定义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名词</w:t>
            </w:r>
          </w:p>
        </w:tc>
        <w:tc>
          <w:tcPr>
            <w:tcW w:type="dxa" w:w="6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定义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SPU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标准商品单元，用于表达同一商品模型或款型。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SKU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库存量单位，通常由颜色、规格、容量等销售属性组合形成。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对比池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用户当前待比较的候选商品集合。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对比页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以统一结构并列展示候选商品及其差异的页面。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比较属性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可用于商品横向比较的标准化字段，如重量、屏幕尺寸、能效等级。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销售属性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影响具体购买与库存的规格属性，如颜色、容量、套装。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差异项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候选商品在同一比较属性上的取值不完全相同。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缺失项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某商品在指定比较属性上没有有效值。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1. 项目概述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1.1 背景与问题</w:t>
      </w:r>
    </w:p>
    <w:p>
      <w:r>
        <w:rPr>
          <w:rFonts w:ascii="Calibri" w:hAnsi="Calibri" w:eastAsia="PingFang SC"/>
          <w:b w:val="0"/>
          <w:sz w:val="21"/>
        </w:rPr>
        <w:t>用户在高考虑度商品的购买过程中，往往需要反复打开详情页、手工记录参数、切换规格并核对价格。现有详情页以单商品转化为中心，缺少跨商品的一致信息结构，导致以下问题：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信息分散：价格、规格、服务与评价散落在不同模块或页面。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口径不一：同类属性存在命名、单位与枚举差异，难以直接比较。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认知负担高：用户需要记住前一商品的信息，再与当前商品进行心算比较。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差异不突出：大量相同参数遮蔽真正影响决策的少数差异。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决策链路长：用户在多个页面之间往返，容易退出、延迟购买或转向外部平台。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1.2 产品定位</w:t>
      </w:r>
    </w:p>
    <w:p>
      <w:r>
        <w:rPr>
          <w:rFonts w:ascii="Calibri" w:hAnsi="Calibri" w:eastAsia="PingFang SC"/>
          <w:b w:val="0"/>
          <w:sz w:val="21"/>
        </w:rPr>
        <w:t>商品对比工具是站内的“候选收敛与决策辅助层”。它不替代搜索、推荐或详情页，而是连接“发现候选商品”和“选择具体 SKU 并下单”两个阶段，通过结构化并列展示、差异高亮和购买信息同步，帮助用户从多个候选快速收敛到一个可购买选项。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1.3 产品原则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真实优先：所有结论可回溯到平台商品数据，不生成无法验证的事实。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差异优先：默认突出影响决策的不同点，同时保留查看全部信息的能力。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口径统一：先标准化属性名、单位和枚举，再进行横向展示。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决策闭环：比较结果必须能顺畅衔接选规格、领优惠、加购或立即购买。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控制复杂度：首期只解决高频、可标准化的同类商品比较，不追求全品类万能比较。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2. 目标与成功指标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2.1 业务目标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缩短有比较需求用户从进入候选商品到作出购买动作的时间。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提高比较场景的加购率、立即购买点击率和最终支付转化率。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降低因信息不透明产生的详情页往返、退出和购买后不符合预期。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沉淀类目级标准比较属性，为搜索、导购和推荐复用。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2.2 用户目标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快速看懂候选商品“哪里不同”。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明确价格、优惠、库存和服务差异。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根据自己的关注点筛掉不合适的候选。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在有依据的情况下选择规格并完成购买。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2.3 北极星指标</w:t>
      </w:r>
    </w:p>
    <w:p>
      <w:r>
        <w:rPr>
          <w:rFonts w:ascii="Calibri" w:hAnsi="Calibri" w:eastAsia="PingFang SC"/>
          <w:b/>
          <w:sz w:val="21"/>
        </w:rPr>
        <w:t>有效对比决策率</w:t>
      </w:r>
      <w:r>
        <w:rPr>
          <w:rFonts w:ascii="Calibri" w:hAnsi="Calibri" w:eastAsia="PingFang SC"/>
          <w:b w:val="0"/>
          <w:sz w:val="21"/>
        </w:rPr>
        <w:t xml:space="preserve"> = 进入对比页后 30 分钟内，对任一被比较商品发生“加购、立即购买或收藏”行为的去重用户数 ÷ 对比页有效访问用户数。</w:t>
      </w:r>
    </w:p>
    <w:p>
      <w:r>
        <w:rPr>
          <w:rFonts w:ascii="Calibri" w:hAnsi="Calibri" w:eastAsia="PingFang SC"/>
          <w:b w:val="0"/>
          <w:sz w:val="21"/>
        </w:rPr>
        <w:t>有效访问需满足：页面成功加载且停留 ≥ 5 秒，或发生属性展开、差异筛选、商品切换等有效交互。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2.4 核心指标与建议目标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指标</w:t>
            </w:r>
          </w:p>
        </w:tc>
        <w:tc>
          <w:tcPr>
            <w:tcW w:type="dxa" w:w="363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定义</w:t>
            </w:r>
          </w:p>
        </w:tc>
        <w:tc>
          <w:tcPr>
            <w:tcW w:type="dxa" w:w="363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MVP 建议目标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对比功能使用率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看到对比入口的用户中，至少添加 2 个商品的比例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≥ 5%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对比页到购买意向转化率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对比页访问后 30 分钟内加购或立即购买的比例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相比匹配对照组提升 ≥ 8%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决策时长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首次添加对比至首次购买意向动作的中位时长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相比基线下降 ≥ 15%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差异查看使用率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使用“仅看差异”的对比页用户占比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≥ 25%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对比页退出率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无有效交互直接退出的访问占比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≤ 35%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属性有效覆盖率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核心比较属性中存在有效值的商品占比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≥ 95%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价格新鲜度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展示价格与结算可用价格一致的请求占比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≥ 99.5%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2.5 护栏指标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商品详情页到支付的整体转化率不得显著下降。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对比功能导致的页面性能劣化：列表/详情页 LCP 增量 ≤ 100ms；对比页 LCP P75 ≤ 2.5s。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对比相关价格投诉率、参数错误反馈率和取消/退款率不得高于同类目基线。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商家曝光不得被不可解释地系统性倾斜；排序和推荐必须可解释、可审计。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2.6 非目标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首期不支持跨大类商品的自由比较，例如手机与平板并列比较。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首期不替用户自动下单，也不承诺“唯一最佳商品”。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首期不抓取或展示站外价格、站外评价与未经授权的数据。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首期不建设复杂的自然语言对话导购；AI 总结属于后续增强能力。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首期不覆盖非标准品、服务型商品、拍卖、预售规则极复杂的商品。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3. 用户与核心场景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3.1 目标用户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用户类型</w:t>
            </w:r>
          </w:p>
        </w:tc>
        <w:tc>
          <w:tcPr>
            <w:tcW w:type="dxa" w:w="363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主要特征</w:t>
            </w:r>
          </w:p>
        </w:tc>
        <w:tc>
          <w:tcPr>
            <w:tcW w:type="dxa" w:w="363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核心诉求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参数型用户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熟悉品类，关注性能、规格和可量化参数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快速识别参数差异与性价比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价格敏感型用户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预算明确，关注到手价、优惠和长期成本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看清真实价格、权益与成本差异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低认知用户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不熟悉专业术语，容易被大量参数淹没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获得易懂解释和关键差异摘要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谨慎决策用户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重视评价、售后、品牌与风险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综合比较口碑、服务和履约确定性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3.2 核心用户故事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作为浏览列表的用户，我希望勾选多个感兴趣的商品并立即比较，以免逐个打开详情页。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作为详情页用户，我希望把当前商品加入对比，并看到可直接添加的同类候选。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作为预算有限的用户，我希望比较实时到手价、优惠和服务，而不是只比较标价。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作为不懂参数的用户，我希望看到关键参数的通俗解释和差异意义。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作为已登录用户，我希望稍后或换设备后继续查看我的对比结果。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作为已经做出决定的用户，我希望直接选择规格、加购或购买，不再回到起点。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3.3 典型任务流</w:t>
      </w:r>
    </w:p>
    <w:p>
      <w:r>
        <w:rPr>
          <w:rFonts w:ascii="Calibri" w:hAnsi="Calibri" w:eastAsia="PingFang SC"/>
          <w:b w:val="0"/>
          <w:sz w:val="21"/>
        </w:rPr>
        <w:t>发现候选商品 → 加入对比池 → 凑齐至少 2 个商品 → 打开对比页 → 仅看差异/查看重点维度 → 替换或移除候选 → 选择目标商品与 SKU → 加购或立即购买。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4. 产品范围与版本规划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4.1 MVP 范围（P0）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搜索/列表页与商品详情页添加、取消对比。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底部或侧边对比浮层，展示对比池状态。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同一叶子类目 2–4 个 SPU 并列比较。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商品基础信息、实时价格、促销摘要、库存状态、核心参数、服务与评价摘要。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“仅看差异”、属性分组、缺失值说明、固定商品头部。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商品移除、替换、清空、分享链接。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选择 SKU、加购、立即购买与详情页跳转。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未登录会话保存；登录用户服务端保存最近对比记录。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埋点、监控、配置后台与基础数据质量机制。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4.2 增强版（P1）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用户自定义关注维度与属性置顶。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同类推荐候选和“补充一个常见对比商品”。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价格趋势、能耗/耗材等长期成本信息。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评价主题对比、优缺点摘要及证据回溯。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基于用户偏好的解释型推荐结论。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对比结果收藏、命名、跨端管理。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4.3 探索版（P2）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自然语言提问与多轮决策辅助。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多模态差异说明，如尺寸示意、外观并排、场景适配。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经严格规则定义的跨子类比较。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家庭成员协同选择、投票和评论。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5. 信息架构与入口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5.1 入口设计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00"/>
        <w:gridCol w:w="2660"/>
        <w:gridCol w:w="2500"/>
        <w:gridCol w:w="2500"/>
      </w:tblGrid>
      <w:tr>
        <w:trPr>
          <w:tblHeader w:val="true"/>
        </w:trPr>
        <w:tc>
          <w:tcPr>
            <w:tcW w:type="dxa" w:w="1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页面</w:t>
            </w:r>
          </w:p>
        </w:tc>
        <w:tc>
          <w:tcPr>
            <w:tcW w:type="dxa" w:w="2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入口形式</w:t>
            </w:r>
          </w:p>
        </w:tc>
        <w:tc>
          <w:tcPr>
            <w:tcW w:type="dxa" w:w="2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默认文案</w:t>
            </w:r>
          </w:p>
        </w:tc>
        <w:tc>
          <w:tcPr>
            <w:tcW w:type="dxa" w:w="2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关键行为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搜索/类目列表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商品卡片复选框或图标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加入对比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加入当前商品；显示已选状态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商品详情页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购买区次级按钮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加入对比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加入当前 SPU，并提示继续选同类商品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收藏页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批量操作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对比所选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选择 2–4 个同类商品后进入对比页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购物车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商品操作区次级入口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对比同类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仅对满足条件的商品开放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对比历史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个人中心入口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我的对比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恢复、分享或删除历史对比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5.2 对比浮层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添加第 1 个商品后出现，不强制打断当前浏览。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展示商品缩略图、简称、当前数量、剩余名额和“开始对比”按钮。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数量不足 2 个时按钮置灰，并提示“再添加 1 件即可对比”。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支持移除单个、清空全部、收起/展开。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用户离开当前页面后，浮层状态在同一会话中保留。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移动端采用底部抽屉；桌面端采用底部横条或右侧抽屉，避免遮挡购买主按钮。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5.3 对比页结构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顶部导航：返回、标题、保存/分享、清空。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商品头部区：图片、标题、品牌、当前 SKU、价格、库存、主行动按钮。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决策工具条：仅看差异、隐藏空项、属性搜索、分组导航。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关键结论区：MVP 展示规则生成的关键差异标签；P1 可加入解释型总结。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属性比较区：按“核心信息—性能/规格—体验—服务—评价”分组。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底部或吸顶行动区：查看详情、加入购物车、立即购买。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6. 详细功能需求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6.1 添加商品到对比池（FR-01）</w:t>
      </w:r>
    </w:p>
    <w:p>
      <w:r>
        <w:rPr>
          <w:rFonts w:ascii="Calibri" w:hAnsi="Calibri" w:eastAsia="PingFang SC"/>
          <w:b/>
          <w:sz w:val="21"/>
        </w:rPr>
        <w:t>触发条件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商品属于已开放对比的叶子类目。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商品处于可展示状态；下架商品仅可在历史对比中以失效态展示。</w:t>
      </w:r>
    </w:p>
    <w:p>
      <w:r>
        <w:rPr>
          <w:rFonts w:ascii="Calibri" w:hAnsi="Calibri" w:eastAsia="PingFang SC"/>
          <w:b/>
          <w:sz w:val="21"/>
        </w:rPr>
        <w:t>处理规则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用户点击“加入对比”。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系统校验类目、重复商品、对比数量上限与商品有效性。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校验通过后加入对比池，入口更新为“已加入”，浮层展示最新状态。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校验不通过时使用明确提示，不静默失败。</w:t>
      </w:r>
    </w:p>
    <w:p>
      <w:r>
        <w:rPr>
          <w:rFonts w:ascii="Calibri" w:hAnsi="Calibri" w:eastAsia="PingFang SC"/>
          <w:b/>
          <w:sz w:val="21"/>
        </w:rPr>
        <w:t>边界规则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MVP 最少 2 个、最多 4 个 SPU。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同一 SPU 不重复加入；若 SKU 不同，默认保留同一 SPU 并在对比页切换 SKU。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首个商品确定对比类目。加入不同叶子类目时，提示“仅支持同类商品对比”，并提供“替换当前对比”选项。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达到 4 个后再添加时，弹出替换面板，由用户选择要移除的商品。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商品数据加载失败时不得先展示成功态；重试后仍失败则提示稍后再试。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6.2 管理对比池（FR-02）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支持查看、移除单个、清空全部和恢复最近一次误清空。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清空属于低风险可逆操作，执行后提供 5 秒撤销提示。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被移除商品不自动补位；系统可在空位展示“添加同类商品”。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同一会话中的新增、删除和顺序调整实时同步到所有已打开的同域页面。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登录时将本地对比池与云端最近一次对比合并；冲突时以当前活跃会话为主，超出上限要求用户选择。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6.3 对比页加载与商品头部（FR-03）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页面必须先渲染骨架屏，分阶段加载商品基础信息、价格库存和参数。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商品列顺序与对比池一致；桌面端支持拖拽排序，移动端支持“调整顺序”。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每列展示：主图、短标题、品牌、关键标签、当前 SKU、实时价、优惠摘要、库存/配送摘要、评价分与评价量。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商品名称最多展示 2 行，可展开查看完整名称。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价格应标注口径，如“券后预计”“会员价”“起售价”；无法计算到手价时不得伪装为确定价格。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价格或库存请求失败时，对应区域显示“暂时无法获取”，参数区仍可用。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头部随页面滚动保持可见；窄屏一次突出 2 列，其余列横向滑动，并固定属性名称列。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6.4 SKU 选择与价格联动（FR-04）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默认优先使用用户从详情页加入时选择的 SKU；否则使用可售默认 SKU。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用户可在每个商品列中切换核心销售属性。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SKU 变化后，价格、促销、库存、配送承诺、主图和购买按钮必须联动刷新。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刷新期间只锁定当前商品列，其他商品仍可操作。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若选中 SKU 无货，按钮切换为“到货提醒”或“查看其他规格”，不得继续立即购买。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分享链接可携带 SKU 标识；若该 SKU 失效，页面回退到可售默认 SKU 并明确提示。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6.5 属性分组与展示（FR-05）</w:t>
      </w:r>
    </w:p>
    <w:p>
      <w:r>
        <w:rPr>
          <w:rFonts w:ascii="Calibri" w:hAnsi="Calibri" w:eastAsia="PingFang SC"/>
          <w:b/>
          <w:sz w:val="21"/>
        </w:rPr>
        <w:t>默认分组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基础信息：品牌、型号、上市时间、适用人群/场景。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价格权益：标价、预计到手价、促销、赠品、分期、会员权益。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核心规格：由类目配置的 5–10 个首屏关键属性。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性能与体验：性能、尺寸、重量、材质、续航、噪音等类目属性。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服务履约：库存、配送、安装、保修、退换政策。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用户口碑：评分、评价数、好评率与结构化评价标签。</w:t>
      </w:r>
    </w:p>
    <w:p>
      <w:r>
        <w:rPr>
          <w:rFonts w:ascii="Calibri" w:hAnsi="Calibri" w:eastAsia="PingFang SC"/>
          <w:b/>
          <w:sz w:val="21"/>
        </w:rPr>
        <w:t>展示规则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属性顺序由类目模板配置，核心属性优先；不按数据库字段顺序直接展示。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每行显示标准属性名、必要的解释图标和各商品取值。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同一属性统一单位和精度，例如毫米与厘米转换后再比较。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布尔值使用“支持/不支持/未知”，不得将未知显示为不支持。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多值属性按标准枚举顺序展示，长文本折叠并可展开。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属性缺失显示“暂无数据”，并支持反馈纠错。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6.6 仅看差异与差异高亮（FR-06）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默认展示全部核心属性；用户可切换“仅看差异”。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差异判断基于标准化后的值，而非原始文本字符串。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数值型属性换算为同单位后比较；允许配置容差，避免舍入误差形成伪差异。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枚举型属性以标准枚举 ID 比较；集合型属性比较集合差异。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某商品缺失、其他商品有值时计为差异，但使用“数据缺失”样式，不将缺失解释为能力较弱。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差异高亮使用背景或标记，不只依赖颜色；支持辅助技术读取“此项存在差异”。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当所有可见属性均相同时，展示“当前筛选下未发现差异”，并提供恢复全部属性。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6.7 关键差异摘要（FR-07）</w:t>
      </w:r>
    </w:p>
    <w:p>
      <w:r>
        <w:rPr>
          <w:rFonts w:ascii="Calibri" w:hAnsi="Calibri" w:eastAsia="PingFang SC"/>
          <w:b w:val="0"/>
          <w:sz w:val="21"/>
        </w:rPr>
        <w:t>MVP 使用确定性规则生成，不使用开放式生成模型：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从类目核心属性中选择差异显著且数据完整的 3–5 项。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优先级 = 类目业务权重 × 用户关注权重（若有）× 差异显著度 × 数据置信度。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输出事实型标签，例如“重量轻 180g”“保修多 1 年”“预计到手价低 300 元”。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不输出无法由属性直接证明的绝对判断，如“性能最好”“最值得买”。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点击摘要定位到对应属性行，并展示数据来源/更新时间。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当可用数据不足时隐藏摘要区，不用低质量内容填充。</w:t>
      </w:r>
    </w:p>
    <w:p>
      <w:r>
        <w:rPr>
          <w:rFonts w:ascii="Calibri" w:hAnsi="Calibri" w:eastAsia="PingFang SC"/>
          <w:b w:val="0"/>
          <w:sz w:val="21"/>
        </w:rPr>
        <w:t>P1 可加入偏好驱动的推荐，但必须说明适用条件与依据，例如“如果更重视便携，可优先考虑 A；依据：重量更轻、续航相近”。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6.8 属性解释与决策辅助（FR-08）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专业属性旁提供解释入口，内容包括定义、对使用体验的影响和常见选择建议。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解释由类目运营配置或审核后发布，不直接使用商家营销文案。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对“越高越好”“越低越好”不做通用假设，仅在类目模板明确配置时展示方向性提示。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对可能存在权衡的属性，使用中性描述，例如高刷新率可能带来更流畅体验，也可能影响续航。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P1 支持用户选择关注点，如“预算、性能、便携、售后”，然后重排属性与摘要，不改变原始事实。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6.9 商品替换与推荐候选（FR-09）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用户可点击商品列的“替换”，进入同叶子类目候选面板。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MVP 候选来源：最近浏览、收藏、同搜索结果和平台常见同类商品。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候选卡需展示价格区间、核心差异标签和是否已在对比池。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排序不得仅以商业出价决定；如含广告商品，必须明确标识且不混入自然比较结论。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替换后保留当前列位置，并重新计算差异与摘要。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6.10 购买闭环（FR-10）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每个商品提供“查看详情”“加入购物车”“立即购买”三个动作，主次层级由平台策略统一。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未选择必选销售属性时，点击购买动作先打开 SKU 选择器。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加购成功后展示规格、数量和购物车入口；不自动离开对比页。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立即购买进入确认订单流程；返回时保留对比页状态。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价格、库存或促销在点击后发生变化时，必须二次确认并展示变化内容。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对比页购买动作沿用平台已有风控、限购、实名、区域限制与售后规则。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6.11 保存、历史与分享（FR-11）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未登录用户：本地保存 7 天或直到用户清除站点数据。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登录用户：服务端保存最近 20 组对比，每组最多 4 个商品，默认保留 90 天。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用户可删除历史记录；删除后服务端按隐私策略处理，不再用于个性化展示。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分享生成短链，携带商品 ID、SKU（可选）、排序和可公开的筛选状态，不携带用户身份、优惠券明细等敏感信息。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接收方打开后重新获取实时价格、库存和促销，并提示“价格与库存以当前页面为准”。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商品失效时保留占位与名称，提示已下架，并推荐替换；全部失效时引导重新选择。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6.12 反馈与纠错（FR-12）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属性解释、商品参数和价格区域提供“信息有误”入口。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用户可选择问题类型：参数错误、价格不一致、缺少信息、商品不是同类、其他。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提交时自动携带商品 ID、属性 ID、页面版本、展示值和时间，不要求用户重复填写。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提交成功后生成反馈编号；高风险问题（价格、合规参数）进入优先队列。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反馈处理结果可选站内通知用户；后台需支持定位来源字段和责任方。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7. 业务规则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7.1 可比性规则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默认只允许同一叶子类目商品加入同一对比组。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类目运营可配置“可互比类目组”，但必须共享核心属性模板且通过数据质量验收。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套装与单品、全新与二手、国内版与海外版默认不可直接比较；若开放，必须显著标注商品形态差异。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商家自定义属性只有映射到平台标准属性后才可进入差异计算。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7.2 属性标准化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属性模型包含：标准属性 ID、名称、数据类型、单位、精度、枚举、是否核心、展示顺序、差异算法、容差、解释内容、数据来源和置信度。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单位转换只适用于同量纲数据；无法可靠转换的值保留原文但不参与数值差异排序。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异常值必须经过范围校验；明显越界时降级为“待核实”，不参与关键摘要。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多来源冲突时遵循平台主数据 &gt; 品牌认证数据 &gt; 商家结构化数据 &gt; 文本抽取数据的建议优先级，最终由平台治理策略确认。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7.3 价格与优惠口径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展示价格必须标注适用条件、有效期和用户资格。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个性化优惠只对当前用户可见，不写入公开分享快照。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无法确定优惠组合时展示“可用优惠”而非虚构到手价。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价格对比默认使用当前可选 SKU 的同口径价格；起售价只能与起售价比较，并明确标识。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7.4 评价口径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评分、评价量和好评率需标明统计周期与有效评价规则。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不同类目或不同评价规则的数据不得直接形成高低结论。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评价摘要必须可回溯到足够数量的有效评价；样本不足时提示“评价样本较少”。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8. 页面状态与异常处理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状态</w:t>
            </w:r>
          </w:p>
        </w:tc>
        <w:tc>
          <w:tcPr>
            <w:tcW w:type="dxa" w:w="363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页面表现</w:t>
            </w:r>
          </w:p>
        </w:tc>
        <w:tc>
          <w:tcPr>
            <w:tcW w:type="dxa" w:w="363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用户可执行动作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首次空状态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说明对比价值，展示如何添加商品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去搜索、查看推荐类目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仅 1 件商品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展示当前商品和空位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添加同类商品、返回继续浏览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正常 2–4 件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展示完整对比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筛选、替换、购买、分享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部分数据失败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保留已成功模块，失败区域提示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重试、继续查看其他信息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商品下架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商品列灰化并标记失效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替换、移除、查看相似商品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全部无货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保留参数比较，不展示可购买假象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到货提醒、替换商品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分享链接过期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解释失效原因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恢复仍有效商品、重新选择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网络离线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展示最近缓存并标记更新时间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重试；禁止使用过期价格购买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无可比属性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说明当前商品数据不足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查看详情、反馈、替换商品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9. 交互与视觉要求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9.1 桌面端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属性名列固定，商品列等宽；4 件商品时仍需保证核心信息可读。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商品头部吸顶，横向滚动时保持属性名与当前商品标题可见。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分组支持折叠；当前分组在侧边或顶部导航中高亮。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hover 可补充解释，但所有关键信息必须能通过点击和键盘获得。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9.2 移动端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默认同时展示 2 个商品列，通过横向滑动查看其他商品。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属性名保持固定或在每行顶部重复，避免用户丢失上下文。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底部主操作区避免遮挡内容；与系统安全区适配。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重要筛选采用底部面板，操作后即时生效并保留滚动位置。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9.3 无障碍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支持键盘完成添加、移除、切换筛选、展开和购买。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焦点顺序与视觉顺序一致；动态更新使用合适的读屏提示。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差异、库存和优劣提示不得仅依赖红绿颜色。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文本与背景对比度满足 WCAG 2.1 AA；触控目标建议不小于 44×44px。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商品图片包含替代文本，表格/网格具备正确语义和表头关联。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9.4 文案原则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事实与建议分开表达；避免“完胜”“闭眼买”等绝对化营销语言。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缺失数据写“暂无数据/待核实”，不写“无”。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价格写清条件，如“预计券后”“需会员”“指定地区可用”。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错误提示说明原因并给出下一步，例如“最多比较 4 件，请先替换一件”。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10. 数据与系统设计要求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10.1 核心数据对象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对象</w:t>
            </w:r>
          </w:p>
        </w:tc>
        <w:tc>
          <w:tcPr>
            <w:tcW w:type="dxa" w:w="6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关键字段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CompareSession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session_id、user_id、category_id、product_ids、sku_ids、排序、筛选、来源、创建/更新时间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ProductSnapshot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product_id、标题、图片、品牌、状态、类目、数据版本、更新时间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OfferSnapshot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sku_id、价格类型、金额、促销条件、库存、区域、配送承诺、更新时间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AttributeSchema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category_id、attribute_id、名称、类型、单位、精度、枚举、权重、分组、顺序、差异规则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AttributeValue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product_id/sku_id、attribute_id、原始值、标准值、来源、置信度、更新时间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CompareShare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share_id、商品与 SKU、排序、筛选、过期时间、创建渠道，不含用户敏感信息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10.2 接口能力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对比资格校验：批量返回商品可比性、类目与不可比原因。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对比聚合接口：一次返回基础信息、标准属性和版本号；价格库存可独立高频刷新。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对比会话接口：创建、更新、读取、删除与登录合并。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分享接口：创建匿名快照、解析快照、校验失效商品。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配置接口：按类目下发属性分组、顺序、核心权重、单位与解释。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反馈接口：记录问题类型、上下文与处理状态。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10.3 一致性与时效性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商品参数可按数据版本缓存；价格、促销和库存必须按平台现有实时策略获取。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下单前必须由交易系统重新校验价格、库存、限购和资格；对比页数据不得作为交易凭证。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对比聚合返回各模块独立更新时间；前端不得用旧参数时间冒充价格更新时间。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客户端收到商品状态变化时，及时刷新对应列并重新计算摘要。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10.4 性能与可用性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对比页首屏核心内容接口 P95 ≤ 800ms，完整属性接口 P95 ≤ 1.5s（不含弱网传输）。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对比页 LCP P75 ≤ 2.5s，交互响应 INP P75 ≤ 200ms，CLS P75 ≤ 0.1。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服务可用性目标 ≥ 99.95%；价格/库存子服务失败时支持模块级降级。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属性行采用分组懒加载或虚拟化，避免长列表阻塞主线程。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分享页应具备防爬、限流和缓存策略；公开页面不得泄露个性化信息。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10.5 安全、隐私与合规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最小化收集对比行为数据；明确数据用途、保留期与删除机制。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分享链接使用不可枚举标识，并过滤用户 ID、地址、会员等级、专属券等信息。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所有输入和商家内容进行 XSS、注入与恶意链接防护。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商业推广、广告候选与自然结果明确区分；关键排序规则可审计。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参数与推荐文案遵循广告、消费者权益、价格展示和行业合规要求。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11. 埋点与数据分析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11.1 公共字段</w:t>
      </w:r>
    </w:p>
    <w:p>
      <w:r>
        <w:rPr>
          <w:rFonts w:ascii="Calibri" w:hAnsi="Calibri" w:eastAsia="PingFang SC"/>
          <w:b w:val="0"/>
          <w:sz w:val="21"/>
        </w:rPr>
        <w:t>event_time、user_id/anonymous_id、session_id、compare_session_id、page、entry_source、category_id、product_ids、sku_ids、item_count、experiment_id、app_version、device、network、data_version。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11.2 核心事件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事件名</w:t>
            </w:r>
          </w:p>
        </w:tc>
        <w:tc>
          <w:tcPr>
            <w:tcW w:type="dxa" w:w="363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触发时机</w:t>
            </w:r>
          </w:p>
        </w:tc>
        <w:tc>
          <w:tcPr>
            <w:tcW w:type="dxa" w:w="363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关键属性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compare_entry_exposure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对比入口有效曝光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页面、坑位、商品、类目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compare_add_click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点击加入对比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商品、入口、加入前数量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compare_add_result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加入成功或失败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结果、失败原因、加入后数量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compare_tray_open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展开对比浮层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商品列表、停留阶段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compare_start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点击开始对比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商品数量、来源组合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compare_page_view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对比页有效曝光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商品列表、加载耗时、缺失率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compare_diff_toggle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切换仅看差异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开关状态、可见属性数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compare_group_view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查看属性分组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分组、停留时长、展开方式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compare_attribute_help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查看属性解释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属性、商品类目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compare_product_replace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替换商品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原商品、新商品、候选来源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compare_sku_change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切换规格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商品、原 SKU、新 SKU、结果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compare_share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创建或打开分享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动作、渠道、有效商品数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compare_feedback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提交信息纠错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类型、商品、属性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compare_conversion_click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加购/立即购买/收藏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动作、商品、SKU、比较后时长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compare_order_paid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归因订单支付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订单、商品、归因窗口、金额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11.3 漏斗与分析看板</w:t>
      </w:r>
    </w:p>
    <w:p>
      <w:r>
        <w:rPr>
          <w:rFonts w:ascii="Calibri" w:hAnsi="Calibri" w:eastAsia="PingFang SC"/>
          <w:b w:val="0"/>
          <w:sz w:val="21"/>
        </w:rPr>
        <w:t>入口曝光 → 加入第 1 件 → 加入第 2 件 → 打开对比页 → 使用决策工具 → 加购/立即购买 → 提交订单 → 支付成功。</w:t>
      </w:r>
    </w:p>
    <w:p>
      <w:r>
        <w:rPr>
          <w:rFonts w:ascii="Calibri" w:hAnsi="Calibri" w:eastAsia="PingFang SC"/>
          <w:b w:val="0"/>
          <w:sz w:val="21"/>
        </w:rPr>
        <w:t>看板需按端、入口、类目、新老用户、商品数量、价格带、实验组拆分，并监控：漏斗转化、决策时长、退出率、属性缺失率、接口错误率、分享回流和购买后退款/退货。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11.4 归因规则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主归因窗口：对比页有效访问后 30 分钟内首次发生的购买意向动作。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支付归因窗口：对比页有效访问后 7 天内购买被比较商品的订单。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同一订单命中多个对比会话时，归因到最近一次有效会话。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同时保留直接转化和辅助转化口径，避免夸大对比工具贡献。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12. 实验设计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12.1 MVP 上线实验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实验对象：已开放类目的合格流量，以用户 ID 或匿名设备 ID 稳定分桶。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对照组：无对比入口或保持现有体验。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实验组：开放对比入口、浮层与对比页。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主指标：有效对比决策率、支付转化率、决策时长。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护栏：详情页转化、页面性能、退出率、退款率、参数/价格投诉率。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建议至少覆盖完整购买周期和周内波动；样本量由历史基线、最小可检测效应与统计功效计算。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12.2 后续实验方向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默认全部属性 vs 默认核心属性。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差异高亮样式与“仅看差异”默认状态。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对比上限 3 件 vs 4 件。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规则摘要有/无、摘要条数和位置。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购买按钮常驻 vs 随商品头部吸顶。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13. 运营与配置后台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类目开关：按端、渠道、用户比例开放或关闭。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属性模板：分组、顺序、核心属性、解释、单位、精度、容差和权重。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可比类目组：配置跨叶子类目互比范围并记录审批历史。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质量看板：属性覆盖率、异常值、来源冲突、反馈量和修复时效。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文案与推荐位：支持版本、预览、灰度和回滚。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紧急能力：单类目、单属性、单商品或全局熔断；价格异常时可独立关闭价格比较。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权限：产品配置、类目运营、数据治理、审核发布分权，并保留操作日志。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14. 验收标准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14.1 P0 功能验收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Given 用户在开放类目列表页，When 添加第 1 件商品，Then 对比浮层出现且提示再添加 1 件。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Given 对比池已有 1 件商品，When 添加同叶子类目第 2 件，Then 可进入对比页并保持商品顺序。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Given 对比池已有其他类目商品，When 添加不可比商品，Then 明确提示不可比原因且原对比池不被静默清空。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Given 对比池已有 4 件商品，When 添加第 5 件，Then 展示替换选择，用户取消后数据不变。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Given 用户开启“仅看差异”，When 两商品标准值一致，Then 该属性隐藏；标准值不同则保留并标记。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Given 某商品属性缺失，When 其他商品有值，Then 显示“暂无数据”并标记为缺失，不显示为“不支持”。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Given 用户切换 SKU，When 接口成功，Then 当前列的图片、价格、促销、库存和购买状态同步刷新。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Given 用户点击立即购买，When SKU 未完整选择，Then 先完成规格选择，不进入错误订单。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Given 分享接收方打开链接，When价格已变化，Then 展示当前实时价格及更新时间，不展示分享者专属优惠。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Given 价格接口失败，When 参数接口正常，Then 参数对比仍可用且价格区域支持重试。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14.2 数据质量验收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试点类目核心属性有效覆盖率 ≥ 95%。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数值属性单位转换正确率 ≥ 99.9%，枚举映射正确率 ≥ 99.5%。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抽样对比中不存在将“未知”误判为“不支持”的 P0 问题。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关键差异摘要 100% 可定位到对应属性和值。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价格、库存进入交易前均由交易系统二次校验。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14.3 性能与兼容验收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达成 10.4 中的性能指标，并完成弱网、超长标题、4 商品、长属性值压力测试。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覆盖平台支持的主流浏览器、iOS/Android 最低版本与常见屏幕尺寸。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完成键盘、读屏、缩放 200%、高对比度和色觉障碍检查。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单模块故障可降级，不造成整页白屏或错误购买。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14.4 上线阻断条件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价格或优惠出现系统性错误。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商品间属性错位、单位换算错误或核心属性覆盖率未达标。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分享链接泄露个性化或身份信息。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下单商品/SKU 与用户所选不一致。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关键性能、稳定性或无障碍要求未达到平台上线红线。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15. 测试重点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15.1 功能测试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从所有入口添加、取消、重复添加、跨类目添加、超过上限、清空和撤销。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2/3/4 件商品的展示、排序、替换和横向滚动。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全部相同、全部不同、部分缺失、异常值、多单位、多枚举属性。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SKU 有货/无货/失效、促销变化、价格变化、配送区域变化。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登录前后合并、多端同步、历史恢复、分享打开与分享失效。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15.2 异常与安全测试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慢请求、超时、部分接口失败、重复提交、断网重连和缓存过期。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商品下架、类目迁移、属性模板升级、数据版本不一致。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分享 ID 枚举、越权读取、XSS、参数篡改、重放和限流。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商家标题或属性含特殊字符、超长文本、HTML 和恶意脚本。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15.3 数据校验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与商品详情、购物车和订单确认页交叉核对价格、SKU、库存和参数。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按类目抽样人工复核差异判断与关键摘要。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监控缺失率、异常率、冲突率随版本变化，防止模板更新造成回归。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16. 上线计划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16.1 阶段安排</w:t>
      </w:r>
    </w:p>
    <w:p>
      <w:pPr>
        <w:pStyle w:val="ListNumber"/>
      </w:pPr>
      <w:r>
        <w:rPr>
          <w:rFonts w:ascii="Calibri" w:hAnsi="Calibri" w:eastAsia="PingFang SC"/>
          <w:b/>
          <w:sz w:val="21"/>
        </w:rPr>
        <w:t>准备期</w:t>
      </w:r>
      <w:r>
        <w:rPr>
          <w:rFonts w:ascii="Calibri" w:hAnsi="Calibri" w:eastAsia="PingFang SC"/>
          <w:b w:val="0"/>
          <w:sz w:val="21"/>
        </w:rPr>
        <w:t>：选定 2–3 个高比较意图类目；完成属性模板、数据治理、原型和技术评审。</w:t>
      </w:r>
    </w:p>
    <w:p>
      <w:pPr>
        <w:pStyle w:val="ListNumber"/>
      </w:pPr>
      <w:r>
        <w:rPr>
          <w:rFonts w:ascii="Calibri" w:hAnsi="Calibri" w:eastAsia="PingFang SC"/>
          <w:b/>
          <w:sz w:val="21"/>
        </w:rPr>
        <w:t>内测期</w:t>
      </w:r>
      <w:r>
        <w:rPr>
          <w:rFonts w:ascii="Calibri" w:hAnsi="Calibri" w:eastAsia="PingFang SC"/>
          <w:b w:val="0"/>
          <w:sz w:val="21"/>
        </w:rPr>
        <w:t>：员工与白名单流量，验证准确性、稳定性、异常降级和反馈闭环。</w:t>
      </w:r>
    </w:p>
    <w:p>
      <w:pPr>
        <w:pStyle w:val="ListNumber"/>
      </w:pPr>
      <w:r>
        <w:rPr>
          <w:rFonts w:ascii="Calibri" w:hAnsi="Calibri" w:eastAsia="PingFang SC"/>
          <w:b/>
          <w:sz w:val="21"/>
        </w:rPr>
        <w:t>灰度期</w:t>
      </w:r>
      <w:r>
        <w:rPr>
          <w:rFonts w:ascii="Calibri" w:hAnsi="Calibri" w:eastAsia="PingFang SC"/>
          <w:b w:val="0"/>
          <w:sz w:val="21"/>
        </w:rPr>
        <w:t>：1% → 5% → 20% → 50%，每阶段至少观察一个完整高峰周期。</w:t>
      </w:r>
    </w:p>
    <w:p>
      <w:pPr>
        <w:pStyle w:val="ListNumber"/>
      </w:pPr>
      <w:r>
        <w:rPr>
          <w:rFonts w:ascii="Calibri" w:hAnsi="Calibri" w:eastAsia="PingFang SC"/>
          <w:b/>
          <w:sz w:val="21"/>
        </w:rPr>
        <w:t>全量期</w:t>
      </w:r>
      <w:r>
        <w:rPr>
          <w:rFonts w:ascii="Calibri" w:hAnsi="Calibri" w:eastAsia="PingFang SC"/>
          <w:b w:val="0"/>
          <w:sz w:val="21"/>
        </w:rPr>
        <w:t>：护栏指标稳定且实验达到预设门槛后全量；类目逐批扩展。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16.2 灰度准入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P0/P1 缺陷清零，P2 缺陷具备可接受规避方案。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核心属性覆盖、价格一致性、性能、可用性和隐私审计通过。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客服、类目运营和数据治理已获得问题定位手册与责任人列表。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监控、告警、熔断、回滚开关均已演练。</w:t>
      </w:r>
    </w:p>
    <w:p>
      <w:pPr>
        <w:pStyle w:val="Heading3"/>
      </w:pPr>
      <w:r>
        <w:rPr>
          <w:rFonts w:ascii="Calibri" w:hAnsi="Calibri" w:eastAsia="PingFang SC"/>
          <w:b w:val="0"/>
          <w:color w:val="1F4D78"/>
          <w:sz w:val="23"/>
        </w:rPr>
        <w:t>16.3 回滚策略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前端入口、对比页、关键差异摘要、价格模块均可独立关闭。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关闭入口后保留已有分享页的安全降级，避免直接报错。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配置与属性模板支持版本回滚；服务端保持至少一个稳定版本兼容。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17. 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风险</w:t>
            </w:r>
          </w:p>
        </w:tc>
        <w:tc>
          <w:tcPr>
            <w:tcW w:type="dxa" w:w="363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影响</w:t>
            </w:r>
          </w:p>
        </w:tc>
        <w:tc>
          <w:tcPr>
            <w:tcW w:type="dxa" w:w="363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应对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属性口径不一致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形成错误差异，损害信任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建立标准属性模型、单位转换、置信度与人工抽检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价格与促销不实时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投诉或购买落差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独立刷新、标注条件、下单前二次校验、异常熔断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信息过载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用户仍难以决策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核心属性优先、仅看差异、分组折叠、摘要定位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推荐偏置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商家公平与合规风险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事实与建议分离、广告标识、规则审计、可解释依据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入口干扰主链路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详情转化下降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次级入口、渐进式浮层、A/B 实验与护栏监控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移动端宽度受限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阅读困难、错列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固定属性名、双列视窗、吸顶标题、设备专项测试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数据缺失较多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工具价值下降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类目准入门槛、缺失监控、反馈闭环、分批开放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分享泄露隐私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安全与合规事故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匿名快照、字段白名单、不可枚举 ID、过期与删除机制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18. 依赖项与职责建议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商品中心：SPU/SKU、类目、标题、图片、状态。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属性与数据治理：标准属性、映射、单位、质量监控、纠错闭环。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营销与价格：实时价格、优惠条件、会员资格、赠品。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库存与履约：区域库存、配送时效、安装与服务。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交易系统：SKU 校验、加购、立即购买与订单归因。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评价系统：有效评价、评分、标签与内容合规。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用户与存储：登录态、跨端同步、历史记录和隐私删除。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推荐/搜索：同类候选、最近浏览、常见比较商品。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数据平台：埋点、实验分桶、指标看板和异常告警。</w:t>
      </w:r>
    </w:p>
    <w:p>
      <w:pPr>
        <w:pStyle w:val="ListBullet"/>
      </w:pPr>
      <w:r>
        <w:rPr>
          <w:rFonts w:ascii="Calibri" w:hAnsi="Calibri" w:eastAsia="PingFang SC"/>
          <w:b w:val="0"/>
          <w:sz w:val="21"/>
        </w:rPr>
        <w:t>客服与运营：问题受理、内容审核、类目配置和上线值守。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19. 待决策事项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首批试点类目及各类目的核心比较属性清单。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对比上限采用 3 件还是 4 件；本稿建议 4 件。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未登录保存时长、登录历史保留期限与隐私策略。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“预计到手价”的统一计算口径及个性化优惠展示边界。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对比入口在详情页购买区的视觉优先级。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评价标签和关键差异摘要的审核与责任归属。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分享页是否允许被搜索引擎收录；本稿建议默认不收录。</w:t>
      </w:r>
    </w:p>
    <w:p>
      <w:pPr>
        <w:pStyle w:val="ListNumber"/>
      </w:pPr>
      <w:r>
        <w:rPr>
          <w:rFonts w:ascii="Calibri" w:hAnsi="Calibri" w:eastAsia="PingFang SC"/>
          <w:b w:val="0"/>
          <w:sz w:val="21"/>
        </w:rPr>
        <w:t>P1 个性化推荐是否使用生成式 AI，以及模型、证据、审核和降级方案。</w:t>
      </w:r>
    </w:p>
    <w:p>
      <w:pPr>
        <w:pStyle w:val="Heading2"/>
      </w:pPr>
      <w:r>
        <w:rPr>
          <w:rFonts w:ascii="Calibri" w:hAnsi="Calibri" w:eastAsia="PingFang SC"/>
          <w:b w:val="0"/>
          <w:color w:val="2E74B5"/>
          <w:sz w:val="26"/>
        </w:rPr>
        <w:t>20. 里程碑建议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里程碑</w:t>
            </w:r>
          </w:p>
        </w:tc>
        <w:tc>
          <w:tcPr>
            <w:tcW w:type="dxa" w:w="363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主要交付物</w:t>
            </w:r>
          </w:p>
        </w:tc>
        <w:tc>
          <w:tcPr>
            <w:tcW w:type="dxa" w:w="363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/>
                <w:color w:val="172B4D"/>
                <w:sz w:val="18"/>
              </w:rPr>
              <w:t>建议周期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M0 需求与类目确认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PRD 定稿、试点类目、指标基线、属性清单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1–2 周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M1 方案设计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交互视觉、技术方案、数据治理方案、测试计划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2 周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M2 开发联调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前后端、配置后台、埋点、接口与数据加工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4–6 周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M3 内测验收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功能、数据、性能、安全、无障碍验收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2 周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M4 灰度实验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1%–50% 流量实验、问题修复、指标评估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2–4 周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M5 全量与扩类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全量上线、复盘、类目复制标准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PingFang SC"/>
                <w:b w:val="0"/>
                <w:color w:val="202124"/>
                <w:sz w:val="18"/>
              </w:rPr>
              <w:t>持续</w:t>
            </w:r>
          </w:p>
        </w:tc>
      </w:tr>
    </w:tbl>
    <w:p>
      <w:pPr>
        <w:spacing w:after="20"/>
      </w:pPr>
    </w:p>
    <w:p>
      <w:r>
        <w:rPr>
          <w:rFonts w:ascii="Calibri" w:hAnsi="Calibri" w:eastAsia="PingFang SC"/>
          <w:b/>
          <w:sz w:val="21"/>
        </w:rPr>
        <w:t>评审结论记录</w:t>
      </w:r>
      <w:r>
        <w:rPr>
          <w:rFonts w:ascii="Calibri" w:hAnsi="Calibri" w:eastAsia="PingFang SC"/>
          <w:b w:val="0"/>
          <w:sz w:val="21"/>
        </w:rPr>
        <w:t>：待填写。</w:t>
      </w:r>
    </w:p>
    <w:p>
      <w:r>
        <w:rPr>
          <w:rFonts w:ascii="Calibri" w:hAnsi="Calibri" w:eastAsia="PingFang SC"/>
          <w:b/>
          <w:sz w:val="21"/>
        </w:rPr>
        <w:t>批准上线条件</w:t>
      </w:r>
      <w:r>
        <w:rPr>
          <w:rFonts w:ascii="Calibri" w:hAnsi="Calibri" w:eastAsia="PingFang SC"/>
          <w:b w:val="0"/>
          <w:sz w:val="21"/>
        </w:rPr>
        <w:t>：第 14 节全部满足，且试点类目的核心属性、价格与库存链路通过专项验收。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667085"/>
        <w:sz w:val="18"/>
      </w:rPr>
      <w:t>内部评审稿 ·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 w:eastAsia="PingFang SC"/>
        <w:b/>
        <w:color w:val="667085"/>
        <w:sz w:val="18"/>
      </w:rPr>
      <w:t>商品对比工具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PingFang SC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商品对比工具 PRD</dc:title>
  <dc:subject>电商平台商品对比工具完整产品需求文档</dc:subject>
  <dc:creator>产品团队</dc:creator>
  <cp:keywords>电商, 商品对比, PRD, 购买决策</cp:keywords>
  <dc:description>基于用户给出的单句业务目标从零生成。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