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pPr>
      <w:r>
        <w:rPr>
          <w:rFonts w:hint="eastAsia" w:ascii="Microsoft YaHei UI" w:hAnsi="Microsoft YaHei UI" w:eastAsia="Microsoft YaHei UI" w:cs="Microsoft YaHei UI"/>
          <w:i w:val="0"/>
          <w:caps w:val="0"/>
          <w:color w:val="auto"/>
          <w:spacing w:val="8"/>
          <w:sz w:val="33"/>
          <w:szCs w:val="33"/>
          <w:bdr w:val="none" w:color="auto" w:sz="0" w:space="0"/>
          <w:shd w:val="clear" w:fill="FFFFFF"/>
        </w:rPr>
        <w:t>国家外汇局发布新规促跨境投融资便利化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both"/>
        <w:rPr>
          <w:rFonts w:ascii="Microsoft YaHei UI" w:hAnsi="Microsoft YaHei UI" w:eastAsia="Microsoft YaHei UI" w:cs="Microsoft YaHei UI"/>
          <w:b w:val="0"/>
          <w:i w:val="0"/>
          <w:caps w:val="0"/>
          <w:color w:val="auto"/>
          <w:spacing w:val="8"/>
          <w:sz w:val="25"/>
          <w:szCs w:val="25"/>
        </w:rPr>
      </w:pP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日前，国家外汇管理局下发通知，正式印发《跨国公司跨境资金集中运营管理规定》。通知称，为进一步促进贸易投资便利化，服务实体经济，国家外汇管理局对《跨国公司外汇资金集中运营管理规定》（汇发〔2015〕36号，以下简称36号文）进行了修订。新规涉及以下六项内容</w:t>
      </w:r>
      <w:bookmarkStart w:id="0" w:name="_GoBack"/>
      <w:bookmarkEnd w:id="0"/>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both"/>
        <w:rPr>
          <w:rFonts w:hint="eastAsia" w:ascii="Microsoft YaHei UI" w:hAnsi="Microsoft YaHei UI" w:eastAsia="Microsoft YaHei UI" w:cs="Microsoft YaHei UI"/>
          <w:b w:val="0"/>
          <w:i w:val="0"/>
          <w:caps w:val="0"/>
          <w:color w:val="auto"/>
          <w:spacing w:val="8"/>
          <w:sz w:val="25"/>
          <w:szCs w:val="25"/>
        </w:rPr>
      </w:pP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一是实施外债和境外放款宏观审慎管理。</w:t>
      </w: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跨国公司可根据宏观审慎原则，集中境内成员企业外债额度和（或）境外放款额度，并在集中额度的规模内遵循商业惯例自行开展借用外债业务和（或）境外放款业务。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both"/>
        <w:rPr>
          <w:rFonts w:hint="eastAsia" w:ascii="Microsoft YaHei UI" w:hAnsi="Microsoft YaHei UI" w:eastAsia="Microsoft YaHei UI" w:cs="Microsoft YaHei UI"/>
          <w:b w:val="0"/>
          <w:i w:val="0"/>
          <w:caps w:val="0"/>
          <w:color w:val="auto"/>
          <w:spacing w:val="8"/>
          <w:sz w:val="25"/>
          <w:szCs w:val="25"/>
        </w:rPr>
      </w:pP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二是大幅简化外债和境外放款登记。</w:t>
      </w: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主办企业所在地国家外汇管理局分支局（以下简称所在地外汇局）向主办企业出具备案通知书时，根据经备案集中的额度为其办理一次性外债登记和（或）境外放款登记，主办企业无需分币种、分债权人（或债务人）逐笔办理外债（或境外放款）登记；银行和企业无需报送36号文规定的3张手工报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both"/>
        <w:rPr>
          <w:rFonts w:hint="eastAsia" w:ascii="Microsoft YaHei UI" w:hAnsi="Microsoft YaHei UI" w:eastAsia="Microsoft YaHei UI" w:cs="Microsoft YaHei UI"/>
          <w:b w:val="0"/>
          <w:i w:val="0"/>
          <w:caps w:val="0"/>
          <w:color w:val="auto"/>
          <w:spacing w:val="8"/>
          <w:sz w:val="25"/>
          <w:szCs w:val="25"/>
        </w:rPr>
      </w:pP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三是实行资本项目外汇收入结汇支付便利化。</w:t>
      </w: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跨国公司主办企业在办理国内资金主账户内资本项目外汇收入支付使用时，无需事前向合作银行逐笔提供真实性证明材料；合作银行应按照展业原则进行真实合规性审核。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both"/>
        <w:rPr>
          <w:rFonts w:hint="eastAsia" w:ascii="Microsoft YaHei UI" w:hAnsi="Microsoft YaHei UI" w:eastAsia="Microsoft YaHei UI" w:cs="Microsoft YaHei UI"/>
          <w:b w:val="0"/>
          <w:i w:val="0"/>
          <w:caps w:val="0"/>
          <w:color w:val="auto"/>
          <w:spacing w:val="8"/>
          <w:sz w:val="25"/>
          <w:szCs w:val="25"/>
        </w:rPr>
      </w:pP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四是完善准入退出机制。</w:t>
      </w: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主办企业应在取得跨国公司备案通知书后一年内开立国内资金主账户，并实际办理跨境资金集中运营相关业务，否则备案通知书自颁发满一年之日起失效。跨国公司可在经外汇局备案后，停止办理跨国公司跨境资金集中运营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both"/>
        <w:rPr>
          <w:rFonts w:hint="eastAsia" w:ascii="Microsoft YaHei UI" w:hAnsi="Microsoft YaHei UI" w:eastAsia="Microsoft YaHei UI" w:cs="Microsoft YaHei UI"/>
          <w:b w:val="0"/>
          <w:i w:val="0"/>
          <w:caps w:val="0"/>
          <w:color w:val="auto"/>
          <w:spacing w:val="8"/>
          <w:sz w:val="25"/>
          <w:szCs w:val="25"/>
        </w:rPr>
      </w:pP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五是调整优化账户功能。</w:t>
      </w: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跨国公司以主办企业国内资金主账户为主办理跨境资金集中运营各项业务；确有需要的，可以选择一家境外成员企业开立NRA账户集中运营管理境外成员企业资金。国内资金主账户币种不设限制，为多币种（含人民币）账户，开户数量不予限制。本通知下发前开立的代码为“3600”的国际资金主账户内的资金，应于本通知下发后六个月内，按照资金性质将账户内资金划转至国内资金主账户或者按照本通知规定开立的NRA账户，并将划转情况报所在地外汇局备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both"/>
        <w:rPr>
          <w:rFonts w:hint="eastAsia" w:ascii="Microsoft YaHei UI" w:hAnsi="Microsoft YaHei UI" w:eastAsia="Microsoft YaHei UI" w:cs="Microsoft YaHei UI"/>
          <w:b w:val="0"/>
          <w:i w:val="0"/>
          <w:caps w:val="0"/>
          <w:color w:val="auto"/>
          <w:spacing w:val="8"/>
          <w:sz w:val="25"/>
          <w:szCs w:val="25"/>
        </w:rPr>
      </w:pP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六是加强事中事后监管。</w:t>
      </w:r>
      <w:r>
        <w:rPr>
          <w:rFonts w:hint="eastAsia" w:ascii="Microsoft YaHei UI" w:hAnsi="Microsoft YaHei UI" w:eastAsia="Microsoft YaHei UI" w:cs="Microsoft YaHei UI"/>
          <w:b w:val="0"/>
          <w:i w:val="0"/>
          <w:caps w:val="0"/>
          <w:color w:val="auto"/>
          <w:spacing w:val="8"/>
          <w:sz w:val="25"/>
          <w:szCs w:val="25"/>
          <w:bdr w:val="none" w:color="auto" w:sz="0" w:space="0"/>
          <w:shd w:val="clear" w:fill="FFFFFF"/>
        </w:rPr>
        <w:t>所在地外汇局应定期或不定期进行风险评估，强化非现场监测与现场核查检查，做好银行、企业风险提示和指导工作。</w:t>
      </w:r>
    </w:p>
    <w:p>
      <w:pPr>
        <w:jc w:val="right"/>
        <w:rPr>
          <w:color w:val="auto"/>
        </w:rPr>
      </w:pPr>
      <w:r>
        <w:rPr>
          <w:rFonts w:ascii="Microsoft YaHei UI" w:hAnsi="Microsoft YaHei UI" w:eastAsia="Microsoft YaHei UI" w:cs="Microsoft YaHei UI"/>
          <w:b w:val="0"/>
          <w:i w:val="0"/>
          <w:caps w:val="0"/>
          <w:color w:val="auto"/>
          <w:spacing w:val="8"/>
          <w:sz w:val="21"/>
          <w:szCs w:val="21"/>
          <w:shd w:val="clear" w:fill="FFFFFF"/>
        </w:rPr>
        <w:t>来源：国家外汇管理局网站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237ED"/>
    <w:rsid w:val="17A237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2019-04-03T02:56:00Z</dcterms:created>
  <dc:creator>允歆</dc:creator>
  <cp:lastModifiedBy>允歆</cp:lastModifiedBy>
  <dcterms:modified xsi:type="dcterms:W3CDTF">2019-04-03T03:08:52Z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