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有效防范国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际工程承包六大风险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“我国建筑企业承包国际工程主要面临六个方面的风险，包括经济危机、汇率波动、劳务用工、政治风险、恐怖袭击、税收等。”北京交通大学教授、国务院学科评议组成员刘伊生在2018“一带一路”基础产业论坛上对企业应对这些风险提出了六项建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一，经济危机会对所在国建筑市场产生重大影响，也直接影响到我国建筑企业的海外市场布局。刘伊生举例说，在经济危机发生后，阿联酋和巴林的建筑市场均进入低迷期，至今尚未恢复。他建议企业寻找新机遇，开辟新市场；逐步收缩低迷市场，甚至放弃这些市场，调研周边市场，跟踪有关项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二，汇率波动风险对海外工程成本、利润有着重大影响，而汇率变化又很难预测和把握。刘伊生建议企业在签订合同时要明确采用固定汇率、灵活的币种或支付比率，例如有条件时尽量考虑人民币结算。在可行条件下，加大预付款比例，尽早获得工程款。还可以聘请专业人员、机构协助进行汇兑操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三，劳务用工风险中的劳务成本和劳务稳定风险。近年来，国内劳务用工紧缺，人工成本不断上升，而海外项目劳务用工数量大，这些都加剧了海外项目的国内劳务招工难度，也增加了劳务成本。由于海外项目劳务派遣前期工作耗时长、过程管理特殊，劳务队伍的稳定对海外项目的顺利进展至关重要，也决定着实际成本的高低。因此刘伊生建议企业应该自营劳务队伍，加大外籍用工比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四，政治风险，海外市场涉及的很多国家法制不健全，政策随意性大，政府部门办事效率低，有些国家甚至出现政变或其他原因造成的政权更替，给合同履行带来很大的风险和阻力。刘伊生说，面对这一风险，企业应该加大与当地政府高层和有关部门的对接力度，建立和谐关系，增进彼此的友谊和信任；积极与中国大使馆及经商处联系，做好信息沟通，收集工程所在国政治、外交、经济、税收等方面政策动向；以良好的工程进度形象为公司赢得社会声誉，保持与业主良好的互信关系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五，阿尔及利亚、利比亚等部分国家恐怖活动仍然存在，给海外员工人身安全带来一定威胁。刘伊生说，企业应适当压缩恐怖形势比较严峻地区的业务规模；建立应急处置机制，与当地警署等安全部门建立密切联系；个别地区应雇佣当地保安，并从国内派遣专业保安队伍，与中国大使馆保持密切联系与沟通，争取使馆的支持；对进入有恐怖活动地区工作的工人事先进行反恐培训，使其在知识和心理上做到有备而去，避免遇事慌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both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第六，税务风险，各国都有各自的税收体系，税费的设立各不相同。为此，需要考察明确工程所在国的具体税收政策。刘伊生建议，从项目开始就要进行税务筹划工作，并始终注意收集开具当地税务认可的发票；聘请当地外籍会计师，并与当地税务机关及时沟通，实现密切对接；考虑到预扣利润税在实际操作中的“多退”并不好操作，或者有些国家干脆直接说明预扣税金额为利润下限。因此在投标时，可将预扣税额作为利润税下限予以考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12" w:firstLineChars="200"/>
        <w:jc w:val="right"/>
        <w:textAlignment w:val="auto"/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8"/>
          <w:sz w:val="24"/>
          <w:szCs w:val="24"/>
          <w:shd w:val="clear" w:fill="FFFFFF"/>
        </w:rPr>
        <w:t>本文来源:中国贸易报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0F66"/>
    <w:rsid w:val="245848BC"/>
    <w:rsid w:val="74D0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允歆</cp:lastModifiedBy>
  <dcterms:modified xsi:type="dcterms:W3CDTF">2019-03-05T13:23:56Z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