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随着“AlphaGo”、“无人驾驶”、“大数据处理”等名词不断出现在公众的视野中的时候，人工智能和机器学习这些词被不断的提起。甚至很多人认为：2016年是算法时代的元年，2017年人工智能将会得到更加快速的发展。笔者也相信这是一个趋势，因为基于算法的机器学习是人工智能的核心，运用恰当的话，的确非常强大，给各行各业带来全新的面貌。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目前，在国内外量化交易领域已经有少数CTA策略或者</w:t>
      </w:r>
      <w:hyperlink r:id="rId4" w:tgtFrame="_blank" w:history="1">
        <w:r w:rsidRPr="00E10924">
          <w:rPr>
            <w:rFonts w:ascii="微软雅黑" w:eastAsia="微软雅黑" w:hAnsi="微软雅黑" w:cs="宋体" w:hint="eastAsia"/>
            <w:color w:val="2F3A30"/>
            <w:kern w:val="0"/>
            <w:sz w:val="24"/>
            <w:szCs w:val="24"/>
          </w:rPr>
          <w:t>外汇</w:t>
        </w:r>
      </w:hyperlink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EA会涉及一部分机器学习。那么机器学习到底是如果运作的呢？今天就给大家演示下用简单机器学习去做</w:t>
      </w:r>
      <w:hyperlink r:id="rId5" w:tgtFrame="_blank" w:history="1">
        <w:r w:rsidRPr="00E10924">
          <w:rPr>
            <w:rFonts w:ascii="微软雅黑" w:eastAsia="微软雅黑" w:hAnsi="微软雅黑" w:cs="宋体" w:hint="eastAsia"/>
            <w:color w:val="2F3A30"/>
            <w:kern w:val="0"/>
            <w:sz w:val="24"/>
            <w:szCs w:val="24"/>
          </w:rPr>
          <w:t>外汇</w:t>
        </w:r>
      </w:hyperlink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行情预测。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废话不多说，直接上货吧：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 首先，把需要处理的数据准备好，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tbl>
      <w:tblPr>
        <w:tblW w:w="6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582"/>
        <w:gridCol w:w="3357"/>
      </w:tblGrid>
      <w:tr w:rsidR="00E10924" w:rsidRPr="00E10924" w:rsidTr="00E10924">
        <w:trPr>
          <w:trHeight w:val="420"/>
          <w:tblCellSpacing w:w="1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前三根</w:t>
            </w:r>
            <w:r w:rsidRPr="00E10924">
              <w:rPr>
                <w:rFonts w:ascii="Calibri" w:eastAsia="宋体" w:hAnsi="Calibri" w:cs="Calibri"/>
                <w:kern w:val="0"/>
                <w:szCs w:val="21"/>
              </w:rPr>
              <w:t>k</w:t>
            </w:r>
            <w:r w:rsidRPr="00E10924">
              <w:rPr>
                <w:rFonts w:ascii="宋体" w:eastAsia="宋体" w:hAnsi="宋体" w:cs="Calibri" w:hint="eastAsia"/>
                <w:kern w:val="0"/>
                <w:szCs w:val="21"/>
              </w:rPr>
              <w:t>线涨幅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当前</w:t>
            </w:r>
            <w:r w:rsidRPr="00E10924">
              <w:rPr>
                <w:rFonts w:ascii="Calibri" w:eastAsia="宋体" w:hAnsi="Calibri" w:cs="Calibri"/>
                <w:kern w:val="0"/>
                <w:szCs w:val="21"/>
              </w:rPr>
              <w:t>k</w:t>
            </w:r>
            <w:r w:rsidRPr="00E10924">
              <w:rPr>
                <w:rFonts w:ascii="宋体" w:eastAsia="宋体" w:hAnsi="宋体" w:cs="Calibri" w:hint="eastAsia"/>
                <w:kern w:val="0"/>
                <w:szCs w:val="21"/>
              </w:rPr>
              <w:t>线涨幅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下一根</w:t>
            </w:r>
            <w:r w:rsidRPr="00E10924">
              <w:rPr>
                <w:rFonts w:ascii="宋体" w:eastAsia="宋体" w:hAnsi="宋体" w:cs="宋体" w:hint="eastAsia"/>
                <w:kern w:val="0"/>
                <w:szCs w:val="21"/>
              </w:rPr>
              <w:t>大跌</w:t>
            </w:r>
            <w:r w:rsidRPr="00E10924">
              <w:rPr>
                <w:rFonts w:ascii="Calibri" w:eastAsia="宋体" w:hAnsi="Calibri" w:cs="Calibri"/>
                <w:kern w:val="0"/>
                <w:szCs w:val="21"/>
              </w:rPr>
              <w:t>(0</w:t>
            </w:r>
            <w:r w:rsidRPr="00E10924">
              <w:rPr>
                <w:rFonts w:ascii="宋体" w:eastAsia="宋体" w:hAnsi="宋体" w:cs="宋体" w:hint="eastAsia"/>
                <w:kern w:val="0"/>
                <w:szCs w:val="21"/>
              </w:rPr>
              <w:t>)</w:t>
            </w:r>
            <w:r w:rsidRPr="00E10924">
              <w:rPr>
                <w:rFonts w:ascii="Calibri" w:eastAsia="宋体" w:hAnsi="Calibri" w:cs="Calibri"/>
                <w:kern w:val="0"/>
                <w:szCs w:val="21"/>
              </w:rPr>
              <w:t> /</w:t>
            </w:r>
            <w:r w:rsidRPr="00E10924">
              <w:rPr>
                <w:rFonts w:ascii="宋体" w:eastAsia="宋体" w:hAnsi="宋体" w:cs="Calibri" w:hint="eastAsia"/>
                <w:kern w:val="0"/>
                <w:szCs w:val="21"/>
              </w:rPr>
              <w:t>跌</w:t>
            </w:r>
            <w:r w:rsidRPr="00E10924">
              <w:rPr>
                <w:rFonts w:ascii="宋体" w:eastAsia="宋体" w:hAnsi="宋体" w:cs="宋体" w:hint="eastAsia"/>
                <w:kern w:val="0"/>
                <w:szCs w:val="21"/>
              </w:rPr>
              <w:t>(1)/涨</w:t>
            </w:r>
            <w:r w:rsidRPr="00E10924">
              <w:rPr>
                <w:rFonts w:ascii="Calibri" w:eastAsia="宋体" w:hAnsi="Calibri" w:cs="Calibri"/>
                <w:kern w:val="0"/>
                <w:szCs w:val="21"/>
              </w:rPr>
              <w:t>(2</w:t>
            </w:r>
            <w:r w:rsidRPr="00E10924">
              <w:rPr>
                <w:rFonts w:ascii="宋体" w:eastAsia="宋体" w:hAnsi="宋体" w:cs="宋体" w:hint="eastAsia"/>
                <w:kern w:val="0"/>
                <w:szCs w:val="21"/>
              </w:rPr>
              <w:t>)</w:t>
            </w:r>
            <w:r w:rsidRPr="00E10924">
              <w:rPr>
                <w:rFonts w:ascii="Calibri" w:eastAsia="宋体" w:hAnsi="Calibri" w:cs="Calibri"/>
                <w:kern w:val="0"/>
                <w:szCs w:val="21"/>
              </w:rPr>
              <w:t> /</w:t>
            </w:r>
            <w:r w:rsidRPr="00E10924">
              <w:rPr>
                <w:rFonts w:ascii="宋体" w:eastAsia="宋体" w:hAnsi="宋体" w:cs="Calibri" w:hint="eastAsia"/>
                <w:kern w:val="0"/>
                <w:szCs w:val="21"/>
              </w:rPr>
              <w:t>大涨</w:t>
            </w:r>
            <w:r w:rsidRPr="00E10924">
              <w:rPr>
                <w:rFonts w:ascii="宋体" w:eastAsia="宋体" w:hAnsi="宋体" w:cs="宋体" w:hint="eastAsia"/>
                <w:kern w:val="0"/>
                <w:szCs w:val="21"/>
              </w:rPr>
              <w:t>(</w:t>
            </w:r>
            <w:r w:rsidRPr="00E10924">
              <w:rPr>
                <w:rFonts w:ascii="Calibri" w:eastAsia="宋体" w:hAnsi="Calibri" w:cs="Calibri"/>
                <w:kern w:val="0"/>
                <w:szCs w:val="21"/>
              </w:rPr>
              <w:t>3</w:t>
            </w:r>
            <w:r w:rsidRPr="00E10924">
              <w:rPr>
                <w:rFonts w:ascii="宋体" w:eastAsia="宋体" w:hAnsi="宋体" w:cs="宋体" w:hint="eastAsia"/>
                <w:kern w:val="0"/>
                <w:szCs w:val="21"/>
              </w:rPr>
              <w:t>)</w:t>
            </w:r>
          </w:p>
        </w:tc>
      </w:tr>
      <w:tr w:rsidR="00E10924" w:rsidRPr="00E10924" w:rsidTr="00E10924">
        <w:trPr>
          <w:trHeight w:val="420"/>
          <w:tblCellSpacing w:w="1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10.36787091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14.01653763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1</w:t>
            </w:r>
          </w:p>
        </w:tc>
      </w:tr>
      <w:tr w:rsidR="00E10924" w:rsidRPr="00E10924" w:rsidTr="00E10924">
        <w:trPr>
          <w:trHeight w:val="420"/>
          <w:tblCellSpacing w:w="1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0.56490792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-10.0514786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1</w:t>
            </w:r>
          </w:p>
        </w:tc>
      </w:tr>
      <w:tr w:rsidR="00E10924" w:rsidRPr="00E10924" w:rsidTr="00E10924">
        <w:trPr>
          <w:trHeight w:val="420"/>
          <w:tblCellSpacing w:w="1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6.024039683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7.334618459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1</w:t>
            </w:r>
          </w:p>
        </w:tc>
      </w:tr>
      <w:tr w:rsidR="00E10924" w:rsidRPr="00E10924" w:rsidTr="00E10924">
        <w:trPr>
          <w:trHeight w:val="420"/>
          <w:tblCellSpacing w:w="1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14.01653763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-4.792107118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1</w:t>
            </w:r>
          </w:p>
        </w:tc>
      </w:tr>
      <w:tr w:rsidR="00E10924" w:rsidRPr="00E10924" w:rsidTr="00E10924">
        <w:trPr>
          <w:trHeight w:val="420"/>
          <w:tblCellSpacing w:w="1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-10.0514786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14.47722188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2</w:t>
            </w:r>
          </w:p>
        </w:tc>
      </w:tr>
      <w:tr w:rsidR="00E10924" w:rsidRPr="00E10924" w:rsidTr="00E10924">
        <w:trPr>
          <w:trHeight w:val="420"/>
          <w:tblCellSpacing w:w="1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7.334618459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31.2593872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3</w:t>
            </w:r>
          </w:p>
        </w:tc>
      </w:tr>
      <w:tr w:rsidR="00E10924" w:rsidRPr="00E10924" w:rsidTr="00E10924">
        <w:trPr>
          <w:trHeight w:val="420"/>
          <w:tblCellSpacing w:w="15" w:type="dxa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-4.792107118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11.13596167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E10924" w:rsidRPr="00E10924" w:rsidRDefault="00E10924" w:rsidP="00E109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0924">
              <w:rPr>
                <w:rFonts w:ascii="Calibri" w:eastAsia="宋体" w:hAnsi="Calibri" w:cs="Calibri"/>
                <w:kern w:val="0"/>
                <w:szCs w:val="21"/>
              </w:rPr>
              <w:t>0</w:t>
            </w:r>
          </w:p>
        </w:tc>
      </w:tr>
    </w:tbl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Mt4中用脚本处理好数据，再写入csv里，作为我们的训练数据。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数据量为1.8万条，数据取样为XAUUSD 1h周期。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 导入数据，进行处理，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pandas as pd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import numpy as np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from sklearn.cross_validation import train_test_split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from sklearn.preprocessing import StandardScaler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#获取经过mt4处理的数据集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 = pd.read_csv('XAUUSDtick.csv')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#数据x,y分类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 = data.iloc[:,[1,2]].values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 = data.iloc[:,[3]].values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 = y.ravel()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X_train,X_test,y_train,y_test = train_test_split(X , y , test_size = 0.35, random_state = 0)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 = StandardScaler()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sc.fit(X_train)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X_train_std = sc.transform(X_train)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X_test_std = sc.transform(X_test)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 用sklearn的感知机模型训练数据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from sklearn.linear_model import Perceptron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#迭代次数1000次，学习率0.3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ppn = Perceptron(n_iter = 1000, eta0 = 0.3, random_state = 0)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ppn.fit(X_train_std,y_train)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y_pred = ppn.predict(X_test_std)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 'Misclassified samples:%d' % (y_test != y_pred).sum()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 'Accuracy:%.2f'% accuracy_score(y_test,y_pred)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好，我们运行代码，得到结果：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Misclassified samples:2942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Accuracy:0.47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3710940" cy="2530475"/>
            <wp:effectExtent l="0" t="0" r="3810" b="3175"/>
            <wp:docPr id="2" name="图片 2" descr="一个案例看懂外汇交易中的机器学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个案例看懂外汇交易中的机器学习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 用逻辑回归模型预测涨跌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from sklearn.linear_model import LogisticRegression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lr = LogisticRegression(C=1000.0 , random_state  =0)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lr.fit(X_train_std,y_train)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y_pred = lr.predict(X_test_std)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 'Misclassified samples:%d' % (y_test != y_pred).sum()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print 'Accuracy:%.2f'% accuracy_score(y_test,y_pred)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运行下：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Misclassified samples:2852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Accuracy:0.49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看看学习之后的曲线：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710940" cy="2530475"/>
            <wp:effectExtent l="0" t="0" r="3810" b="3175"/>
            <wp:docPr id="1" name="图片 1" descr="一个案例看懂外汇交易中的机器学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一个案例看懂外汇交易中的机器学习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好了，以上就是一个简单的机器学习案例。如果你能看懂的话，就会发现它不是那么的高深莫测，写一个机器学习的程序也是比较简单，但是想要得到一个比较好的结果，确是相当困难的。如果你还是不能看懂的话，那就可以通俗的理解为：机器学习就是一个黑匣子（Black Box），你扔一堆数据进去学习下，然后如果效果好的话，你就可以把实时的数据交给它，让它给你一个预测，如果效果不好的话，那就只能继续努力了。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从上面这个简单的机器学习可以看到，这个模型是不具有预测性，也就是说效果是不好的。其实，拿机器学习来做金融市场时间序列的预测，结果基本上也是不行的。很多实证的研究也表明金融时间序列的收益都是随机波动的，不具有自相关的特性。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那既然机器学习在预测未来行情上，不具备显著性。那么为什么还要用它呢？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都知道，AlphaGO自称一天能和自己下几百万盘棋，它是通过无数次的自我学习战胜了人类棋手。其实，从统计学上来说，机器学习就是能够不断训练，不断的犯错，不断的学习，从而提高估计的精度和概率。那么对于</w:t>
      </w:r>
      <w:hyperlink r:id="rId8" w:tgtFrame="_blank" w:history="1">
        <w:r w:rsidRPr="00E10924">
          <w:rPr>
            <w:rFonts w:ascii="微软雅黑" w:eastAsia="微软雅黑" w:hAnsi="微软雅黑" w:cs="宋体" w:hint="eastAsia"/>
            <w:color w:val="2F3A30"/>
            <w:kern w:val="0"/>
            <w:sz w:val="24"/>
            <w:szCs w:val="24"/>
          </w:rPr>
          <w:t>外汇</w:t>
        </w:r>
      </w:hyperlink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交易来讲，机器学习可以很好的用在交易策略开发上，比如说在策略参数的选择上，我们就可以尝试用机器学习来帮助我们根据行情选择较好的参数。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机器学习还在不断的发展，各种已有的积累也容易被很快的更新和淘汰，想要了解这项技术，不断的学习最前沿的相关知识和理论是必要的。至少能够让我们知道，</w:t>
      </w:r>
      <w:hyperlink r:id="rId9" w:tgtFrame="_blank" w:history="1">
        <w:r w:rsidRPr="00E10924">
          <w:rPr>
            <w:rFonts w:ascii="微软雅黑" w:eastAsia="微软雅黑" w:hAnsi="微软雅黑" w:cs="宋体" w:hint="eastAsia"/>
            <w:color w:val="2F3A30"/>
            <w:kern w:val="0"/>
            <w:sz w:val="24"/>
            <w:szCs w:val="24"/>
          </w:rPr>
          <w:t>外汇</w:t>
        </w:r>
      </w:hyperlink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市场中很多宣传自己的EA是使用人工智能来预测行情的基本上都是在做“销售”。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E10924" w:rsidRPr="00E10924" w:rsidRDefault="00E10924" w:rsidP="00E10924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10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还是那句话，机器学习没有那么高深莫测，重点是用到合适的地方。</w:t>
      </w:r>
    </w:p>
    <w:p w:rsidR="00C06D3A" w:rsidRDefault="00E10924">
      <w:bookmarkStart w:id="0" w:name="_GoBack"/>
      <w:bookmarkEnd w:id="0"/>
    </w:p>
    <w:sectPr w:rsidR="00C06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06"/>
    <w:rsid w:val="00124391"/>
    <w:rsid w:val="004C5606"/>
    <w:rsid w:val="00BC08B9"/>
    <w:rsid w:val="00E1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DDCBA-AC89-42AF-A435-75B49511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092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10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0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xunion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fxunion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fxunion.com/" TargetMode="External"/><Relationship Id="rId9" Type="http://schemas.openxmlformats.org/officeDocument/2006/relationships/hyperlink" Target="http://www.fxunio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zhangkj</dc:creator>
  <cp:keywords/>
  <dc:description/>
  <cp:lastModifiedBy>zhangkj</cp:lastModifiedBy>
  <cp:revision>3</cp:revision>
  <dcterms:created xsi:type="dcterms:W3CDTF">2017-06-08T08:22:00Z</dcterms:created>
  <dcterms:modified xsi:type="dcterms:W3CDTF">2017-06-08T08:22:00Z</dcterms:modified>
</cp:coreProperties>
</file>