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2"/>
        <w:spacing w:before="312" w:beforeLines="100"/>
        <w:outlineLvl w:val="1"/>
      </w:pPr>
      <w:bookmarkStart w:id="0" w:name="_Toc24304530"/>
      <w:bookmarkStart w:id="1" w:name="_Toc51266138"/>
      <w:r>
        <w:rPr>
          <w:rFonts w:hint="eastAsia"/>
        </w:rPr>
        <w:t>风电场实测测风参数分析</w:t>
      </w:r>
      <w:bookmarkEnd w:id="0"/>
      <w:bookmarkEnd w:id="1"/>
    </w:p>
    <w:p>
      <w:pPr>
        <w:pStyle w:val="32"/>
        <w:numPr>
          <w:ilvl w:val="2"/>
          <w:numId w:val="1"/>
        </w:numPr>
        <w:spacing w:before="312" w:beforeLines="100"/>
        <w:rPr>
          <w:rFonts w:ascii="Arial" w:hAnsi="宋体" w:eastAsiaTheme="minorEastAsia" w:cstheme="minorBidi"/>
          <w:kern w:val="2"/>
          <w:sz w:val="21"/>
          <w:szCs w:val="22"/>
        </w:rPr>
      </w:pPr>
      <w:bookmarkStart w:id="2" w:name="_Toc51266139"/>
      <w:r>
        <w:rPr>
          <w:rFonts w:hint="eastAsia" w:ascii="Arial" w:hAnsi="宋体" w:eastAsiaTheme="minorEastAsia" w:cstheme="minorBidi"/>
          <w:kern w:val="2"/>
          <w:sz w:val="21"/>
          <w:szCs w:val="22"/>
        </w:rPr>
        <w:t>空气密度</w:t>
      </w:r>
      <w:bookmarkEnd w:id="2"/>
    </w:p>
    <w:p>
      <w:pPr>
        <w:spacing w:line="360" w:lineRule="auto"/>
        <w:ind w:firstLine="480"/>
        <w:rPr>
          <w:rFonts w:hint="eastAsia" w:hAnsi="宋体"/>
        </w:rPr>
      </w:pPr>
      <w:r>
        <w:rPr>
          <w:rFonts w:hint="eastAsia" w:hAnsi="宋体"/>
        </w:rPr>
        <w:t>空气密度直接影响风能的大小，在同等风速条件下，空气密度越大、风能越大。</w:t>
      </w:r>
    </w:p>
    <w:p>
      <w:pPr>
        <w:spacing w:line="360" w:lineRule="auto"/>
        <w:ind w:firstLine="480"/>
        <w:rPr>
          <w:lang w:val="en-US"/>
        </w:rPr>
      </w:pPr>
      <w:r>
        <w:rPr>
          <w:lang w:val="en-US"/>
        </w:rPr>
        <w:t xml:space="preserve">1488#测风塔有气温、气压数据记录，完整率80.12%，压力参数采用海平面大气压向上外推得到年均气压值，故采用数据有效完整率较好的1488#测风塔进行空气密度的分析。</w:t>
      </w:r>
    </w:p>
    <w:p>
      <w:pPr>
        <w:spacing w:line="360" w:lineRule="auto"/>
        <w:ind w:firstLine="480"/>
        <w:rPr>
          <w:lang w:val="en-US"/>
        </w:rPr>
      </w:pPr>
      <w:r>
        <w:rPr>
          <w:lang w:val="en-US"/>
        </w:rPr>
        <w:t xml:space="preserve">1489#测风塔有气温、气压数据记录，完整率88.12%，压力参数采用海平面大气压向上外推得到年均气压值，故采用数据有效完整率较好的1489#测风塔进行空气密度的分析。</w:t>
      </w:r>
    </w:p>
    <w:p>
      <w:pPr>
        <w:spacing w:line="360" w:lineRule="auto"/>
        <w:ind w:firstLine="480"/>
        <w:rPr>
          <w:rFonts w:hAnsi="宋体"/>
        </w:rPr>
      </w:pPr>
      <w:r>
        <w:rPr>
          <w:rFonts w:hint="eastAsia" w:hAnsi="宋体"/>
        </w:rPr>
        <w:t>1498#测风塔均有气温、气压的记录，但由于2015/07/27 8:00-2015/11/08 10:50时段内温度及气压通道损坏，完整率72.09%，无法准确评估空气密度，不作为参数输入用以计算风电场空气密度。</w:t>
      </w:r>
    </w:p>
    <w:p>
      <w:pPr>
        <w:spacing w:line="360" w:lineRule="auto"/>
        <w:ind w:firstLine="480"/>
        <w:rPr>
          <w:rFonts w:hAnsi="宋体"/>
        </w:rPr>
      </w:pPr>
      <w:r>
        <w:rPr>
          <w:rFonts w:hint="eastAsia" w:hAnsi="宋体"/>
        </w:rPr>
        <w:t>1499#测风塔有气温记录，无气压记录，完整率98.91%，压力参数采用海平面大气压向上外推得到年均气压值，故采用数据有效完整率较好的1499#测风塔进行空气密度的分析。</w:t>
      </w:r>
    </w:p>
    <w:p>
      <w:pPr>
        <w:spacing w:line="360" w:lineRule="auto"/>
        <w:ind w:firstLine="480"/>
        <w:rPr>
          <w:rFonts w:hAnsi="宋体"/>
        </w:rPr>
      </w:pPr>
      <w:r>
        <w:rPr>
          <w:rFonts w:hint="eastAsia" w:hAnsi="宋体"/>
        </w:rPr>
        <w:t>通过公式（1）计算得到测风塔气温、气压仪器设置高度空气密度。</w:t>
      </w:r>
    </w:p>
    <w:p>
      <w:pPr>
        <w:pStyle w:val="31"/>
        <w:jc w:val="right"/>
        <w:rPr>
          <w:rFonts w:hAnsi="宋体" w:cstheme="minorBidi"/>
          <w:kern w:val="2"/>
          <w:sz w:val="21"/>
          <w:szCs w:val="22"/>
        </w:rPr>
      </w:pPr>
      <w:r>
        <w:rPr>
          <w:position w:val="-10"/>
        </w:rPr>
        <w:drawing>
          <wp:inline distT="0" distB="0" distL="0" distR="0">
            <wp:extent cx="693420" cy="198120"/>
            <wp:effectExtent l="0" t="0" r="0" b="12065"/>
            <wp:docPr id="1036" name="图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图片 19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198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hAnsi="宋体" w:cstheme="minorBidi"/>
          <w:kern w:val="2"/>
          <w:sz w:val="21"/>
          <w:szCs w:val="22"/>
        </w:rPr>
        <w:t xml:space="preserve"> （1）</w:t>
      </w:r>
    </w:p>
    <w:p>
      <w:pPr>
        <w:spacing w:line="360" w:lineRule="auto"/>
        <w:ind w:firstLine="482"/>
        <w:textAlignment w:val="center"/>
        <w:rPr>
          <w:rFonts w:hAnsi="宋体"/>
        </w:rPr>
      </w:pPr>
      <w:r>
        <w:rPr>
          <w:rFonts w:hint="eastAsia" w:hAnsi="宋体"/>
        </w:rPr>
        <w:t>式中：</w:t>
      </w:r>
      <w:r>
        <w:rPr>
          <w:rFonts w:hint="eastAsia" w:hAnsi="宋体"/>
        </w:rPr>
        <w:drawing>
          <wp:inline distT="0" distB="0" distL="0" distR="0">
            <wp:extent cx="152400" cy="160020"/>
            <wp:effectExtent l="0" t="0" r="0" b="12700"/>
            <wp:docPr id="1037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图片 16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</w:rPr>
        <w:t>——空气密度，kg/m3；</w:t>
      </w:r>
    </w:p>
    <w:p>
      <w:pPr>
        <w:spacing w:line="360" w:lineRule="auto"/>
        <w:ind w:firstLine="482"/>
        <w:textAlignment w:val="center"/>
        <w:rPr>
          <w:rFonts w:hAnsi="宋体"/>
        </w:rPr>
      </w:pPr>
      <w:r>
        <w:rPr>
          <w:rFonts w:hint="eastAsia" w:hAnsi="宋体"/>
        </w:rPr>
        <w:drawing>
          <wp:inline distT="0" distB="0" distL="0" distR="0">
            <wp:extent cx="152400" cy="160020"/>
            <wp:effectExtent l="0" t="0" r="0" b="13335"/>
            <wp:docPr id="1038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图片 20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</w:rPr>
        <w:t>——年平均大气压力（Pa）；</w:t>
      </w:r>
    </w:p>
    <w:p>
      <w:pPr>
        <w:spacing w:line="360" w:lineRule="auto"/>
        <w:ind w:firstLine="482"/>
        <w:textAlignment w:val="center"/>
        <w:rPr>
          <w:rFonts w:hAnsi="宋体"/>
        </w:rPr>
      </w:pPr>
      <w:r>
        <w:rPr>
          <w:rFonts w:hint="eastAsia" w:hAnsi="宋体"/>
        </w:rPr>
        <w:drawing>
          <wp:inline distT="0" distB="0" distL="0" distR="0">
            <wp:extent cx="144780" cy="160020"/>
            <wp:effectExtent l="0" t="0" r="7620" b="13335"/>
            <wp:docPr id="1039" name="图片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图片 24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</w:rPr>
        <w:t>——年平均空气开氏温标绝对温度（℃+273）。</w:t>
      </w:r>
    </w:p>
    <w:p>
      <w:pPr>
        <w:pStyle w:val="31"/>
        <w:rPr>
          <w:rFonts w:hAnsi="宋体" w:cstheme="minorBidi"/>
          <w:kern w:val="2"/>
          <w:sz w:val="21"/>
          <w:szCs w:val="22"/>
        </w:rPr>
      </w:pPr>
      <w:r>
        <w:rPr>
          <w:rFonts w:hint="eastAsia" w:hAnsi="宋体" w:cstheme="minorBidi"/>
          <w:kern w:val="2"/>
          <w:sz w:val="21"/>
          <w:szCs w:val="22"/>
        </w:rPr>
        <w:t>空气密度随着高度的升高而减小，空气密度随着高度修正利用以下公式（2）。</w:t>
      </w:r>
    </w:p>
    <w:p>
      <w:pPr>
        <w:pStyle w:val="31"/>
        <w:jc w:val="right"/>
        <w:rPr>
          <w:rFonts w:hAnsi="宋体" w:cstheme="minorBidi"/>
          <w:kern w:val="2"/>
          <w:sz w:val="21"/>
          <w:szCs w:val="22"/>
        </w:rPr>
      </w:pPr>
      <w:r>
        <w:rPr>
          <w:position w:val="-12"/>
        </w:rPr>
        <w:drawing>
          <wp:inline distT="0" distB="0" distL="0" distR="0">
            <wp:extent cx="1059180" cy="236220"/>
            <wp:effectExtent l="0" t="0" r="7620" b="12700"/>
            <wp:docPr id="1040" name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图片 25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236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rFonts w:hint="eastAsia" w:hAnsi="宋体" w:cstheme="minorBidi"/>
          <w:kern w:val="2"/>
          <w:sz w:val="21"/>
          <w:szCs w:val="22"/>
        </w:rPr>
        <w:t xml:space="preserve">                        （2）</w:t>
      </w:r>
    </w:p>
    <w:p>
      <w:pPr>
        <w:spacing w:line="360" w:lineRule="auto"/>
        <w:ind w:firstLine="482"/>
        <w:textAlignment w:val="center"/>
        <w:rPr>
          <w:rFonts w:hAnsi="宋体"/>
        </w:rPr>
      </w:pPr>
      <w:r>
        <w:rPr>
          <w:rFonts w:hint="eastAsia" w:hAnsi="宋体"/>
        </w:rPr>
        <w:t>式中：</w:t>
      </w:r>
      <w:r>
        <w:rPr>
          <w:rFonts w:hint="eastAsia" w:hAnsi="宋体"/>
        </w:rPr>
        <w:drawing>
          <wp:inline distT="0" distB="0" distL="0" distR="0">
            <wp:extent cx="182880" cy="228600"/>
            <wp:effectExtent l="0" t="0" r="7620" b="0"/>
            <wp:docPr id="1041" name="图片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图片 32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</w:rPr>
        <w:t>为测风仪器安装处（海拔高度为z）的空气密度，</w:t>
      </w:r>
      <w:r>
        <w:rPr>
          <w:rFonts w:hint="eastAsia" w:hAnsi="宋体"/>
        </w:rPr>
        <w:drawing>
          <wp:inline distT="0" distB="0" distL="0" distR="0">
            <wp:extent cx="182880" cy="228600"/>
            <wp:effectExtent l="0" t="0" r="7620" b="0"/>
            <wp:docPr id="1042" name="图片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图片 47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</w:rPr>
        <w:t>为温度、气压传感器安装高度处（海拔高度为h）的空气密度。</w:t>
      </w:r>
    </w:p>
    <w:p>
      <w:pPr>
        <w:pStyle w:val="34"/>
        <w:numPr>
          <w:ilvl w:val="0"/>
          <w:numId w:val="0"/>
        </w:numPr>
        <w:spacing w:before="156" w:afterLines="0"/>
      </w:pPr>
      <w:r>
        <w:rPr>
          <w:rFonts w:hint="eastAsia"/>
        </w:rPr>
        <w:t>表2-2 各测风塔各测层空气密度（kg/m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）</w:t>
      </w:r>
    </w:p>
    <w:tbl>
      <w:tblPr>
        <w:tblStyle w:val="8"/>
        <w:tblW w:w="67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971"/>
        <w:gridCol w:w="1591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测风塔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高程（m）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10m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1499#</w:t>
            </w:r>
          </w:p>
        </w:tc>
        <w:tc>
          <w:tcPr>
            <w:tcW w:w="19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217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1.229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18"/>
                <w:szCs w:val="18"/>
              </w:rPr>
              <w:t>1.218</w:t>
            </w:r>
          </w:p>
        </w:tc>
      </w:tr>
    </w:tbl>
    <w:p>
      <w:pPr>
        <w:spacing w:before="156" w:beforeLines="50" w:line="360" w:lineRule="auto"/>
        <w:ind w:firstLine="482"/>
        <w:rPr>
          <w:rFonts w:hAnsi="宋体"/>
        </w:rPr>
      </w:pPr>
      <w:r>
        <w:rPr>
          <w:rFonts w:hint="eastAsia" w:hAnsi="宋体"/>
        </w:rPr>
        <w:t xml:space="preserve">本阶段收集到参考周期内1499#测风塔气温数据。根据1499#测风塔数据，年平均气温6.77℃，依据海平面外推1499#高程217m处年平均气压98.72kPa，测风塔高度处空气密度为1.229kg/m3；风电场轮毂高度100m处空气密度为1.218kg/m3。 </w:t>
      </w:r>
    </w:p>
    <w:p>
      <w:pPr>
        <w:pStyle w:val="32"/>
        <w:numPr>
          <w:ilvl w:val="2"/>
          <w:numId w:val="1"/>
        </w:numPr>
        <w:spacing w:before="312" w:beforeLines="100"/>
        <w:rPr>
          <w:rFonts w:ascii="Arial" w:hAnsi="宋体" w:eastAsiaTheme="minorEastAsia" w:cstheme="minorBidi"/>
          <w:kern w:val="2"/>
          <w:sz w:val="21"/>
          <w:szCs w:val="22"/>
        </w:rPr>
      </w:pPr>
      <w:bookmarkStart w:id="3" w:name="_Toc51266140"/>
      <w:r>
        <w:rPr>
          <w:rFonts w:hint="eastAsia" w:ascii="Arial" w:hAnsi="宋体" w:eastAsiaTheme="minorEastAsia" w:cstheme="minorBidi"/>
          <w:kern w:val="2"/>
          <w:sz w:val="21"/>
          <w:szCs w:val="22"/>
        </w:rPr>
        <w:t>平均风速及风功率密度</w:t>
      </w:r>
      <w:bookmarkEnd w:id="3"/>
    </w:p>
    <w:p>
      <w:pPr>
        <w:spacing w:line="360" w:lineRule="auto"/>
        <w:ind w:firstLine="480"/>
        <w:rPr>
          <w:rFonts w:hAnsi="宋体"/>
        </w:rPr>
      </w:pPr>
      <w:bookmarkStart w:id="4" w:name="_Toc368313143"/>
      <w:r>
        <w:rPr>
          <w:rFonts w:hint="eastAsia" w:hAnsi="宋体"/>
        </w:rPr>
        <w:t>对1498#、1499#测风塔数据进行统计，1498#测风塔100m高度的年平均风速为7.048m/s(折算到标准空气密度下为7.028m/s)，</w:t>
      </w:r>
      <w:r>
        <w:t>风功率密度分别为</w:t>
      </w:r>
      <w:r>
        <w:rPr>
          <w:rFonts w:hint="eastAsia"/>
        </w:rPr>
        <w:t>321W</w:t>
      </w:r>
      <w:r>
        <w:t>/m</w:t>
      </w:r>
      <w:r>
        <w:rPr>
          <w:vertAlign w:val="superscript"/>
        </w:rPr>
        <w:t>2</w:t>
      </w:r>
      <w:r>
        <w:rPr>
          <w:rFonts w:hint="eastAsia"/>
        </w:rPr>
        <w:t>；</w:t>
      </w:r>
      <w:r>
        <w:rPr>
          <w:rFonts w:hint="eastAsia" w:hAnsi="宋体"/>
        </w:rPr>
        <w:t>1499#测风塔100m高度的年平均风速为6.927m/s，折算到标准空气密度下为6.907m/s)，</w:t>
      </w:r>
      <w:r>
        <w:t>风功率密度分别为</w:t>
      </w:r>
      <w:r>
        <w:rPr>
          <w:rFonts w:hint="eastAsia"/>
        </w:rPr>
        <w:t>326W</w:t>
      </w:r>
      <w:r>
        <w:t>/m</w:t>
      </w:r>
      <w:r>
        <w:rPr>
          <w:vertAlign w:val="superscript"/>
        </w:rPr>
        <w:t>2</w:t>
      </w:r>
      <w:r>
        <w:rPr>
          <w:rFonts w:hint="eastAsia" w:hAnsi="宋体"/>
        </w:rPr>
        <w:t>。各测风高度的平均风速、风功率密度如表2-3所示。各测风塔100m高度的逐月风速及风功率密度如表2-4、图2-2所示。各测风塔100m高度的逐时风速及风功率密度如表2-5、图2-3所示。</w:t>
      </w:r>
    </w:p>
    <w:p>
      <w:pPr>
        <w:pStyle w:val="34"/>
        <w:numPr>
          <w:ilvl w:val="0"/>
          <w:numId w:val="0"/>
        </w:numPr>
        <w:spacing w:before="156" w:afterLines="0"/>
      </w:pPr>
      <w:r>
        <w:rPr>
          <w:rFonts w:hint="eastAsia"/>
        </w:rPr>
        <w:t>表2-3 测风塔各高度参考周期平均风速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213"/>
        <w:gridCol w:w="1212"/>
        <w:gridCol w:w="1213"/>
        <w:gridCol w:w="1212"/>
        <w:gridCol w:w="1213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45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高度（m）</w:t>
            </w:r>
          </w:p>
        </w:tc>
        <w:tc>
          <w:tcPr>
            <w:tcW w:w="3638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1498#</w:t>
            </w:r>
          </w:p>
        </w:tc>
        <w:tc>
          <w:tcPr>
            <w:tcW w:w="363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1499#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4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现场空气密度下平均风速（m/s）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标况下平均风速（m/s）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风功率密度（W/m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vertAlign w:val="superscript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现场空气密度下平均风速（m/s）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标况下平均风速（m/s）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风功率密度（W/m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vertAlign w:val="superscript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100mA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6.990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 xml:space="preserve">6.970 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6.808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 xml:space="preserve">6.789 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100mB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7.048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7.028 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321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6.927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6.907 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326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80mA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6.614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 xml:space="preserve">6.595 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6.35</w:t>
            </w: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 xml:space="preserve">6.332 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80mB</w:t>
            </w:r>
          </w:p>
        </w:tc>
        <w:tc>
          <w:tcPr>
            <w:tcW w:w="121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6.608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 xml:space="preserve">6.589 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6.483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 xml:space="preserve">6.464 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70m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6.099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 xml:space="preserve">6.082 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50m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5.818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 xml:space="preserve">5.801 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5.659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 xml:space="preserve">5.643 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2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30m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5.073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 xml:space="preserve">5.058 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21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4.863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 xml:space="preserve">4.849 </w:t>
            </w:r>
          </w:p>
        </w:tc>
        <w:tc>
          <w:tcPr>
            <w:tcW w:w="121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124</w:t>
            </w:r>
          </w:p>
        </w:tc>
      </w:tr>
    </w:tbl>
    <w:p>
      <w:pPr>
        <w:pStyle w:val="34"/>
        <w:numPr>
          <w:ilvl w:val="0"/>
          <w:numId w:val="0"/>
        </w:numPr>
        <w:spacing w:before="156" w:afterLines="0"/>
        <w:jc w:val="both"/>
        <w:rPr>
          <w:rFonts w:ascii="Arial" w:hAnsi="宋体" w:eastAsiaTheme="minorEastAsia" w:cstheme="minorBidi"/>
          <w:kern w:val="2"/>
          <w:szCs w:val="22"/>
        </w:rPr>
      </w:pPr>
      <w:r>
        <w:rPr>
          <w:rFonts w:hint="eastAsia" w:ascii="Arial" w:hAnsi="宋体" w:eastAsiaTheme="minorEastAsia" w:cstheme="minorBidi"/>
          <w:kern w:val="2"/>
          <w:szCs w:val="22"/>
        </w:rPr>
        <w:t xml:space="preserve"> </w:t>
      </w:r>
    </w:p>
    <w:p>
      <w:pPr>
        <w:rPr>
          <w:rFonts w:hAnsi="宋体"/>
        </w:rPr>
      </w:pPr>
      <w:r>
        <w:rPr>
          <w:rFonts w:hint="eastAsia" w:hAnsi="宋体"/>
        </w:rPr>
        <w:br w:type="page"/>
      </w:r>
    </w:p>
    <w:p>
      <w:pPr>
        <w:pStyle w:val="34"/>
        <w:numPr>
          <w:ilvl w:val="0"/>
          <w:numId w:val="0"/>
        </w:numPr>
        <w:spacing w:before="156" w:afterLines="0"/>
      </w:pPr>
      <w:r>
        <w:rPr>
          <w:rFonts w:hint="eastAsia"/>
        </w:rPr>
        <w:t>表2-4测风塔逐月风速及风功率密度</w:t>
      </w:r>
    </w:p>
    <w:tbl>
      <w:tblPr>
        <w:tblStyle w:val="8"/>
        <w:tblW w:w="83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7"/>
        <w:gridCol w:w="1667"/>
        <w:gridCol w:w="1668"/>
        <w:gridCol w:w="1667"/>
        <w:gridCol w:w="16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月份</w:t>
            </w:r>
          </w:p>
        </w:tc>
        <w:tc>
          <w:tcPr>
            <w:tcW w:w="3335" w:type="dxa"/>
            <w:gridSpan w:val="2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平均风速</w:t>
            </w: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(m/s)</w:t>
            </w:r>
          </w:p>
        </w:tc>
        <w:tc>
          <w:tcPr>
            <w:tcW w:w="3334" w:type="dxa"/>
            <w:gridSpan w:val="2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平均风功率密度</w:t>
            </w: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(W/m2)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1498#100m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1499#100m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1498#100m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1499#100m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7.617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7.557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381.3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384.8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8.082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8.129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456.02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467.03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7.886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7.735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439.65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435.36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7.259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7.353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358.11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391.38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7.752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7.867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418.85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461.66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6.407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6.325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242.53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245.98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6.032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5.863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182.3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173.55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5.884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5.545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165.31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153.87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6.156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5.816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192.73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183.03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7.507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7.501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361.13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396.23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7.066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6.748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325.79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303.98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6.939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6.676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324.38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310.6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平均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7.046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6.924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320.33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325.39</w:t>
            </w:r>
          </w:p>
        </w:tc>
      </w:tr>
    </w:tbl>
    <w:p>
      <w:pPr>
        <w:pStyle w:val="34"/>
        <w:numPr>
          <w:ilvl w:val="0"/>
          <w:numId w:val="0"/>
        </w:numPr>
        <w:spacing w:before="156" w:afterLines="0"/>
      </w:pPr>
      <w:r>
        <w:rPr>
          <w:rFonts w:hint="eastAsia"/>
        </w:rPr>
        <w:t xml:space="preserve">  表2-5测风塔逐时风速及风功率密度</w:t>
      </w:r>
    </w:p>
    <w:tbl>
      <w:tblPr>
        <w:tblStyle w:val="8"/>
        <w:tblW w:w="83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7"/>
        <w:gridCol w:w="1667"/>
        <w:gridCol w:w="1668"/>
        <w:gridCol w:w="1667"/>
        <w:gridCol w:w="16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时刻</w:t>
            </w:r>
          </w:p>
        </w:tc>
        <w:tc>
          <w:tcPr>
            <w:tcW w:w="3335" w:type="dxa"/>
            <w:gridSpan w:val="2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平均风速</w:t>
            </w: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(m/s)</w:t>
            </w:r>
          </w:p>
        </w:tc>
        <w:tc>
          <w:tcPr>
            <w:tcW w:w="3334" w:type="dxa"/>
            <w:gridSpan w:val="2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平均风功率密度</w:t>
            </w: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(W/m2)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1498#100m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1499#100m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1498#100m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1499#100m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7.502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7.415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7.444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7.383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7.385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7.321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7.471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7.299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7.597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7.392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7.495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7.245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7.238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7.017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6.783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6.553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6.432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6.221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6.396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6.19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6.517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6.334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6.681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6.501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6.825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6.704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6.986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6.899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7.06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6.982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7.029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6.904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6.961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6.826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6.874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6.783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6.809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6.766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6.973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6.902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7.052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7.023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7.099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7.073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7.199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7.17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7.333</w:t>
            </w:r>
          </w:p>
        </w:tc>
        <w:tc>
          <w:tcPr>
            <w:tcW w:w="1668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7.298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  <w:t>365</w:t>
            </w:r>
          </w:p>
        </w:tc>
      </w:tr>
    </w:tbl>
    <w:p>
      <w:pPr>
        <w:jc w:val="center"/>
        <w:rPr>
          <w:rFonts w:ascii="Times New Roman" w:hAnsi="Times New Roman" w:eastAsia="宋体" w:cs="Times New Roman"/>
          <w:color w:val="000000"/>
          <w:sz w:val="18"/>
          <w:szCs w:val="18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175250" cy="1602105"/>
            <wp:effectExtent l="0" t="0" r="6350" b="17145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黑体" w:hAnsi="Times New Roman" w:eastAsia="黑体" w:cs="Times New Roman"/>
          <w:kern w:val="0"/>
          <w:szCs w:val="20"/>
          <w:lang w:val="en-GB"/>
        </w:rPr>
      </w:pPr>
      <w:r>
        <w:rPr>
          <w:rFonts w:hint="eastAsia" w:ascii="黑体" w:hAnsi="Times New Roman" w:eastAsia="黑体" w:cs="Times New Roman"/>
          <w:kern w:val="0"/>
          <w:szCs w:val="20"/>
          <w:lang w:val="en-GB"/>
        </w:rPr>
        <w:t>图2-</w:t>
      </w:r>
      <w:r>
        <w:rPr>
          <w:rFonts w:hint="eastAsia" w:ascii="黑体" w:hAnsi="Times New Roman" w:eastAsia="黑体" w:cs="Times New Roman"/>
          <w:kern w:val="0"/>
          <w:szCs w:val="20"/>
        </w:rPr>
        <w:t>2</w:t>
      </w:r>
      <w:r>
        <w:rPr>
          <w:rFonts w:hint="eastAsia" w:ascii="黑体" w:hAnsi="Times New Roman" w:eastAsia="黑体" w:cs="Times New Roman"/>
          <w:kern w:val="0"/>
          <w:szCs w:val="20"/>
          <w:lang w:val="en-GB"/>
        </w:rPr>
        <w:t xml:space="preserve">  测风塔</w:t>
      </w:r>
      <w:r>
        <w:rPr>
          <w:rFonts w:hint="eastAsia" w:ascii="黑体" w:hAnsi="Times New Roman" w:eastAsia="黑体" w:cs="Times New Roman"/>
          <w:kern w:val="0"/>
          <w:szCs w:val="20"/>
        </w:rPr>
        <w:t>100m</w:t>
      </w:r>
      <w:r>
        <w:rPr>
          <w:rFonts w:hint="eastAsia" w:ascii="黑体" w:hAnsi="Times New Roman" w:eastAsia="黑体" w:cs="Times New Roman"/>
          <w:kern w:val="0"/>
          <w:szCs w:val="20"/>
          <w:lang w:val="en-GB"/>
        </w:rPr>
        <w:t>测层逐月风速及风功率密度分布</w:t>
      </w:r>
    </w:p>
    <w:p>
      <w:pPr>
        <w:widowControl/>
        <w:jc w:val="center"/>
      </w:pPr>
      <w:r>
        <w:drawing>
          <wp:inline distT="0" distB="0" distL="114300" distR="114300">
            <wp:extent cx="5412740" cy="1602105"/>
            <wp:effectExtent l="0" t="0" r="16510" b="17145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黑体" w:hAnsi="Times New Roman" w:eastAsia="黑体" w:cs="Times New Roman"/>
          <w:kern w:val="0"/>
          <w:szCs w:val="20"/>
          <w:lang w:val="en-GB"/>
        </w:rPr>
      </w:pPr>
      <w:r>
        <w:rPr>
          <w:rFonts w:hint="eastAsia" w:ascii="黑体" w:hAnsi="Times New Roman" w:eastAsia="黑体" w:cs="Times New Roman"/>
          <w:kern w:val="0"/>
          <w:szCs w:val="20"/>
          <w:lang w:val="en-GB"/>
        </w:rPr>
        <w:t>图2-</w:t>
      </w:r>
      <w:r>
        <w:rPr>
          <w:rFonts w:hint="eastAsia" w:ascii="黑体" w:hAnsi="Times New Roman" w:eastAsia="黑体" w:cs="Times New Roman"/>
          <w:kern w:val="0"/>
          <w:szCs w:val="20"/>
        </w:rPr>
        <w:t>3</w:t>
      </w:r>
      <w:r>
        <w:rPr>
          <w:rFonts w:hint="eastAsia" w:ascii="黑体" w:hAnsi="Times New Roman" w:eastAsia="黑体" w:cs="Times New Roman"/>
          <w:kern w:val="0"/>
          <w:szCs w:val="20"/>
          <w:lang w:val="en-GB"/>
        </w:rPr>
        <w:t xml:space="preserve">  测风塔</w:t>
      </w:r>
      <w:r>
        <w:rPr>
          <w:rFonts w:hint="eastAsia" w:ascii="黑体" w:hAnsi="Times New Roman" w:eastAsia="黑体" w:cs="Times New Roman"/>
          <w:kern w:val="0"/>
          <w:szCs w:val="20"/>
        </w:rPr>
        <w:t>100m</w:t>
      </w:r>
      <w:r>
        <w:rPr>
          <w:rFonts w:hint="eastAsia" w:ascii="黑体" w:hAnsi="Times New Roman" w:eastAsia="黑体" w:cs="Times New Roman"/>
          <w:kern w:val="0"/>
          <w:szCs w:val="20"/>
          <w:lang w:val="en-GB"/>
        </w:rPr>
        <w:t>测层逐时风速及风功率密度分布</w:t>
      </w:r>
    </w:p>
    <w:bookmarkEnd w:id="4"/>
    <w:p>
      <w:pPr>
        <w:pStyle w:val="32"/>
        <w:numPr>
          <w:ilvl w:val="2"/>
          <w:numId w:val="1"/>
        </w:numPr>
        <w:spacing w:before="312" w:beforeLines="100" w:after="0" w:afterLines="0"/>
        <w:rPr>
          <w:rFonts w:ascii="Arial" w:hAnsi="宋体" w:eastAsiaTheme="minorEastAsia" w:cstheme="minorBidi"/>
          <w:kern w:val="2"/>
          <w:sz w:val="21"/>
          <w:szCs w:val="22"/>
        </w:rPr>
      </w:pPr>
      <w:bookmarkStart w:id="5" w:name="_Toc51266141"/>
      <w:bookmarkStart w:id="6" w:name="_Toc404764721"/>
      <w:r>
        <w:rPr>
          <w:rFonts w:hint="eastAsia" w:ascii="Arial" w:hAnsi="宋体" w:eastAsiaTheme="minorEastAsia" w:cstheme="minorBidi"/>
          <w:kern w:val="2"/>
          <w:sz w:val="21"/>
          <w:szCs w:val="22"/>
        </w:rPr>
        <w:t>长年代订正</w:t>
      </w:r>
      <w:bookmarkEnd w:id="5"/>
    </w:p>
    <w:p>
      <w:pPr>
        <w:pStyle w:val="31"/>
        <w:rPr>
          <w:rFonts w:hAnsi="宋体" w:cstheme="minorBidi"/>
          <w:kern w:val="2"/>
          <w:sz w:val="21"/>
          <w:szCs w:val="22"/>
        </w:rPr>
      </w:pPr>
      <w:r>
        <w:rPr>
          <w:rFonts w:hint="eastAsia" w:hAnsi="宋体" w:cstheme="minorBidi"/>
          <w:kern w:val="2"/>
          <w:sz w:val="21"/>
          <w:szCs w:val="22"/>
        </w:rPr>
        <w:t>1）长期数据选取</w:t>
      </w:r>
    </w:p>
    <w:p>
      <w:pPr>
        <w:pStyle w:val="31"/>
        <w:rPr>
          <w:rFonts w:hAnsi="宋体" w:cstheme="minorBidi"/>
          <w:kern w:val="2"/>
          <w:sz w:val="21"/>
          <w:szCs w:val="22"/>
        </w:rPr>
      </w:pPr>
      <w:r>
        <w:rPr>
          <w:rFonts w:hint="eastAsia" w:hAnsi="宋体" w:cstheme="minorBidi"/>
          <w:kern w:val="2"/>
          <w:sz w:val="21"/>
          <w:szCs w:val="22"/>
        </w:rPr>
        <w:t>对于风速的长年代分析，选择一个有代表性的“基准站”是客观分析的关键，该“基准站”需具备以下必要条件：</w:t>
      </w:r>
    </w:p>
    <w:p>
      <w:pPr>
        <w:pStyle w:val="31"/>
        <w:rPr>
          <w:rFonts w:hAnsi="宋体" w:cstheme="minorBidi"/>
          <w:kern w:val="2"/>
          <w:sz w:val="21"/>
          <w:szCs w:val="22"/>
        </w:rPr>
      </w:pPr>
      <w:r>
        <w:rPr>
          <w:rFonts w:hint="eastAsia" w:hAnsi="宋体" w:cstheme="minorBidi"/>
          <w:kern w:val="2"/>
          <w:sz w:val="21"/>
          <w:szCs w:val="22"/>
        </w:rPr>
        <w:t>该测风站的测风环境保持长年不变；</w:t>
      </w:r>
    </w:p>
    <w:p>
      <w:pPr>
        <w:pStyle w:val="31"/>
        <w:rPr>
          <w:rFonts w:hAnsi="宋体" w:cstheme="minorBidi"/>
          <w:kern w:val="2"/>
          <w:sz w:val="21"/>
          <w:szCs w:val="22"/>
        </w:rPr>
      </w:pPr>
      <w:r>
        <w:rPr>
          <w:rFonts w:hint="eastAsia" w:hAnsi="宋体" w:cstheme="minorBidi"/>
          <w:kern w:val="2"/>
          <w:sz w:val="21"/>
          <w:szCs w:val="22"/>
        </w:rPr>
        <w:t>该测风站所处的地理位置、气候特征等应与被考察地区相似；</w:t>
      </w:r>
    </w:p>
    <w:p>
      <w:pPr>
        <w:pStyle w:val="31"/>
        <w:rPr>
          <w:rFonts w:hAnsi="宋体" w:cstheme="minorBidi"/>
          <w:kern w:val="2"/>
          <w:sz w:val="21"/>
          <w:szCs w:val="22"/>
        </w:rPr>
      </w:pPr>
      <w:r>
        <w:rPr>
          <w:rFonts w:hint="eastAsia" w:hAnsi="宋体" w:cstheme="minorBidi"/>
          <w:kern w:val="2"/>
          <w:sz w:val="21"/>
          <w:szCs w:val="22"/>
        </w:rPr>
        <w:t>该测风站历史测风数据年限要达到20年以上。</w:t>
      </w:r>
    </w:p>
    <w:p>
      <w:pPr>
        <w:pStyle w:val="31"/>
        <w:rPr>
          <w:rFonts w:hAnsi="宋体" w:cstheme="minorBidi"/>
          <w:kern w:val="2"/>
          <w:sz w:val="21"/>
          <w:szCs w:val="22"/>
        </w:rPr>
      </w:pPr>
      <w:r>
        <w:rPr>
          <w:rFonts w:hint="eastAsia" w:hAnsi="宋体" w:cstheme="minorBidi"/>
          <w:kern w:val="2"/>
          <w:sz w:val="21"/>
          <w:szCs w:val="22"/>
        </w:rPr>
        <w:t>经分析气象站与风电场位置关系可知，距离本风电场最近的彰武气象站地形与风电场地形相似性较差，可参考性不强，不适宜作为长年代订正的参考。本报告测风塔采用3Tier长期数据（MERRA2）对风场实测数据进行代表年修正，收集的MERRA2数据与各测风塔数据相关性分析结果如表2-6所示。</w:t>
      </w:r>
    </w:p>
    <w:p>
      <w:pPr>
        <w:pStyle w:val="34"/>
        <w:numPr>
          <w:ilvl w:val="0"/>
          <w:numId w:val="0"/>
        </w:numPr>
        <w:spacing w:before="156" w:afterLines="0"/>
      </w:pPr>
    </w:p>
    <w:p>
      <w:pPr>
        <w:pStyle w:val="34"/>
        <w:numPr>
          <w:ilvl w:val="0"/>
          <w:numId w:val="0"/>
        </w:numPr>
        <w:spacing w:before="156" w:afterLines="0"/>
      </w:pPr>
      <w:r>
        <w:rPr>
          <w:rFonts w:hint="eastAsia"/>
        </w:rPr>
        <w:t>表2-6测风塔与长期数据相关性分析结果表</w:t>
      </w:r>
    </w:p>
    <w:tbl>
      <w:tblPr>
        <w:tblStyle w:val="9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3237"/>
        <w:gridCol w:w="3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测风塔</w:t>
            </w:r>
          </w:p>
        </w:tc>
        <w:tc>
          <w:tcPr>
            <w:tcW w:w="323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风速相关系数（R2）</w:t>
            </w:r>
          </w:p>
        </w:tc>
        <w:tc>
          <w:tcPr>
            <w:tcW w:w="323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风向相关系数（R2）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1498#</w:t>
            </w:r>
          </w:p>
        </w:tc>
        <w:tc>
          <w:tcPr>
            <w:tcW w:w="323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0.587</w:t>
            </w:r>
          </w:p>
        </w:tc>
        <w:tc>
          <w:tcPr>
            <w:tcW w:w="323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0.923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1499#</w:t>
            </w:r>
          </w:p>
        </w:tc>
        <w:tc>
          <w:tcPr>
            <w:tcW w:w="323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0.562</w:t>
            </w:r>
          </w:p>
        </w:tc>
        <w:tc>
          <w:tcPr>
            <w:tcW w:w="323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0.919</w:t>
            </w:r>
          </w:p>
        </w:tc>
      </w:tr>
    </w:tbl>
    <w:p>
      <w:pPr>
        <w:pStyle w:val="31"/>
        <w:rPr>
          <w:rFonts w:hAnsi="宋体" w:cstheme="minorBidi"/>
          <w:kern w:val="2"/>
          <w:sz w:val="21"/>
          <w:szCs w:val="22"/>
        </w:rPr>
      </w:pPr>
      <w:r>
        <w:rPr>
          <w:rFonts w:hint="eastAsia" w:hAnsi="宋体" w:cstheme="minorBidi"/>
          <w:kern w:val="2"/>
          <w:sz w:val="21"/>
          <w:szCs w:val="22"/>
        </w:rPr>
        <w:t>经分析MERRA2数据可知，1498#、1499#测风塔与长期数据相关关系较高，与长年代数据相关性较好，建议采用MERRA2数据做长年代分析订正。</w:t>
      </w:r>
    </w:p>
    <w:p>
      <w:pPr>
        <w:pStyle w:val="31"/>
        <w:numPr>
          <w:ilvl w:val="0"/>
          <w:numId w:val="3"/>
        </w:numPr>
        <w:rPr>
          <w:rFonts w:hAnsi="宋体" w:cstheme="minorBidi"/>
          <w:kern w:val="2"/>
          <w:sz w:val="21"/>
          <w:szCs w:val="22"/>
        </w:rPr>
      </w:pPr>
      <w:r>
        <w:rPr>
          <w:rFonts w:hint="eastAsia" w:hAnsi="宋体" w:cstheme="minorBidi"/>
          <w:kern w:val="2"/>
          <w:sz w:val="21"/>
          <w:szCs w:val="22"/>
        </w:rPr>
        <w:t>长年代水平判断</w:t>
      </w:r>
    </w:p>
    <w:p>
      <w:pPr>
        <w:pStyle w:val="31"/>
        <w:rPr>
          <w:rFonts w:hAnsi="宋体" w:cstheme="minorBidi"/>
          <w:kern w:val="2"/>
          <w:sz w:val="21"/>
          <w:szCs w:val="22"/>
        </w:rPr>
      </w:pPr>
      <w:r>
        <w:rPr>
          <w:rFonts w:hint="eastAsia" w:hAnsi="宋体" w:cstheme="minorBidi"/>
          <w:kern w:val="2"/>
          <w:sz w:val="21"/>
          <w:szCs w:val="22"/>
        </w:rPr>
        <w:t>长期数据MERRA2年平均风速统计值见表2.7，近30年年平均风速分布图如图2-4所示。参考20年中尺度数据，本阶段认为测风塔在长年代水平。1498#、1499#测风塔测风时段（2015.03.01~2016.02.29）为平风年，不需要进行订正。</w:t>
      </w:r>
    </w:p>
    <w:p>
      <w:pPr>
        <w:pStyle w:val="34"/>
        <w:numPr>
          <w:ilvl w:val="0"/>
          <w:numId w:val="0"/>
        </w:numPr>
        <w:spacing w:before="156" w:afterLines="0"/>
      </w:pPr>
      <w:r>
        <w:rPr>
          <w:rFonts w:hint="eastAsia"/>
        </w:rPr>
        <w:t>表2-7长年代数据30年平均风速表</w:t>
      </w:r>
    </w:p>
    <w:tbl>
      <w:tblPr>
        <w:tblStyle w:val="8"/>
        <w:tblW w:w="829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211"/>
        <w:gridCol w:w="1117"/>
        <w:gridCol w:w="1211"/>
        <w:gridCol w:w="2429"/>
        <w:gridCol w:w="121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17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年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风速</w:t>
            </w:r>
          </w:p>
        </w:tc>
        <w:tc>
          <w:tcPr>
            <w:tcW w:w="1117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年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风速</w:t>
            </w:r>
          </w:p>
        </w:tc>
        <w:tc>
          <w:tcPr>
            <w:tcW w:w="242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年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风速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1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m/s</w:t>
            </w:r>
          </w:p>
        </w:tc>
        <w:tc>
          <w:tcPr>
            <w:tcW w:w="1117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m/s</w:t>
            </w:r>
          </w:p>
        </w:tc>
        <w:tc>
          <w:tcPr>
            <w:tcW w:w="242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m/s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1986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6.385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1998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6.760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6.645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1987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7.204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1999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6.490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6.464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6.760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6.434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6.520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1989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6.606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6.571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6.638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1990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6.662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6.558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6.202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1991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6.522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6.788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6.569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1992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6.419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6.672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近30年均值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6.582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1993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6.355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6.490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近20年均值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6.569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1994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6.458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6.375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近10年均值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1995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6.722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6.279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测风时段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6.569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1996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6.712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6.653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近30年偏差百分比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-0.203%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1997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6.714</w:t>
            </w:r>
          </w:p>
        </w:tc>
        <w:tc>
          <w:tcPr>
            <w:tcW w:w="111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6.845</w:t>
            </w:r>
          </w:p>
        </w:tc>
        <w:tc>
          <w:tcPr>
            <w:tcW w:w="24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近20年偏差百分比</w:t>
            </w:r>
          </w:p>
        </w:tc>
        <w:tc>
          <w:tcPr>
            <w:tcW w:w="12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0.001%</w:t>
            </w:r>
          </w:p>
        </w:tc>
      </w:tr>
    </w:tbl>
    <w:p>
      <w:pPr>
        <w:pStyle w:val="31"/>
        <w:ind w:firstLine="0"/>
        <w:jc w:val="center"/>
      </w:pPr>
      <w:r>
        <w:drawing>
          <wp:inline distT="0" distB="0" distL="114300" distR="114300">
            <wp:extent cx="4528820" cy="2508885"/>
            <wp:effectExtent l="0" t="0" r="5080" b="57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黑体" w:hAnsi="Times New Roman" w:eastAsia="黑体" w:cs="Times New Roman"/>
          <w:kern w:val="0"/>
          <w:szCs w:val="20"/>
        </w:rPr>
      </w:pPr>
      <w:r>
        <w:rPr>
          <w:rFonts w:hint="eastAsia" w:ascii="黑体" w:hAnsi="Times New Roman" w:eastAsia="黑体" w:cs="Times New Roman"/>
          <w:kern w:val="0"/>
          <w:szCs w:val="20"/>
        </w:rPr>
        <w:t>图2-4 长年代MERRA2近30年年平均风速柱状图</w:t>
      </w:r>
    </w:p>
    <w:p>
      <w:pPr>
        <w:pStyle w:val="32"/>
        <w:numPr>
          <w:ilvl w:val="2"/>
          <w:numId w:val="1"/>
        </w:numPr>
        <w:spacing w:after="0" w:afterLines="0"/>
        <w:rPr>
          <w:rFonts w:ascii="Arial" w:hAnsi="宋体" w:eastAsiaTheme="minorEastAsia" w:cstheme="minorBidi"/>
          <w:kern w:val="2"/>
          <w:sz w:val="21"/>
          <w:szCs w:val="22"/>
        </w:rPr>
      </w:pPr>
      <w:bookmarkStart w:id="7" w:name="_Toc51266142"/>
      <w:r>
        <w:rPr>
          <w:rFonts w:hint="eastAsia" w:ascii="Arial" w:hAnsi="宋体" w:eastAsiaTheme="minorEastAsia" w:cstheme="minorBidi"/>
          <w:kern w:val="2"/>
          <w:sz w:val="21"/>
          <w:szCs w:val="22"/>
        </w:rPr>
        <w:t>威布尔分布</w:t>
      </w:r>
      <w:bookmarkEnd w:id="6"/>
      <w:bookmarkEnd w:id="7"/>
    </w:p>
    <w:p>
      <w:pPr>
        <w:pStyle w:val="31"/>
        <w:rPr>
          <w:rFonts w:hAnsi="宋体" w:cstheme="minorBidi"/>
          <w:kern w:val="2"/>
          <w:sz w:val="21"/>
          <w:szCs w:val="22"/>
        </w:rPr>
      </w:pPr>
      <w:r>
        <w:rPr>
          <w:rFonts w:hint="eastAsia" w:hAnsi="宋体" w:cstheme="minorBidi"/>
          <w:kern w:val="2"/>
          <w:sz w:val="21"/>
          <w:szCs w:val="22"/>
        </w:rPr>
        <w:t>按照《风电场风能资源评估方法》 GB/T 18710-2002 规范完成 1498</w:t>
      </w:r>
      <w:r>
        <w:rPr>
          <w:rFonts w:hint="eastAsia" w:hAnsi="宋体" w:cstheme="minorBidi"/>
          <w:kern w:val="2"/>
          <w:sz w:val="21"/>
          <w:szCs w:val="22"/>
          <w:lang w:val="en-GB"/>
        </w:rPr>
        <w:t>#、</w:t>
      </w:r>
      <w:r>
        <w:rPr>
          <w:rFonts w:hint="eastAsia" w:hAnsi="宋体" w:cstheme="minorBidi"/>
          <w:kern w:val="2"/>
          <w:sz w:val="21"/>
          <w:szCs w:val="22"/>
        </w:rPr>
        <w:t>1499</w:t>
      </w:r>
      <w:r>
        <w:rPr>
          <w:rFonts w:hint="eastAsia" w:hAnsi="宋体" w:cstheme="minorBidi"/>
          <w:kern w:val="2"/>
          <w:sz w:val="21"/>
          <w:szCs w:val="22"/>
          <w:lang w:val="en-GB"/>
        </w:rPr>
        <w:t>#两</w:t>
      </w:r>
      <w:r>
        <w:rPr>
          <w:rFonts w:hint="eastAsia" w:hAnsi="宋体" w:cstheme="minorBidi"/>
          <w:kern w:val="2"/>
          <w:sz w:val="21"/>
          <w:szCs w:val="22"/>
        </w:rPr>
        <w:t>座测风塔测风数据的处理与分析工作，参考周期内1498#测风塔100m高度的年平均风速为7.048m/s(折算到标准空气密度下为7.028m/s)，参考周期内1499#测风塔100m高度的年平均风速为6.927m/s，折算到标准空气密度下为6.907m/s)。参考周期内1498#测风塔A=7.90m/s，K=2.68，参考周期内1499#测风塔A=7.79m/s，K=2.45。不同风速区间占比统计如表2-8 所示。1498#测风塔 100m高度代表年威布尔分布参数如图2-5 所示，1499#测风塔 100m高度代表年威布尔分布参数如图2-6 所示。</w:t>
      </w:r>
    </w:p>
    <w:p>
      <w:pPr>
        <w:pStyle w:val="34"/>
        <w:numPr>
          <w:ilvl w:val="0"/>
          <w:numId w:val="0"/>
        </w:numPr>
        <w:spacing w:before="156" w:afterLines="0"/>
      </w:pPr>
      <w:r>
        <w:rPr>
          <w:rFonts w:hint="eastAsia"/>
        </w:rPr>
        <w:t>表2-8测风塔不同风速段的风速风频统计(100m)</w:t>
      </w:r>
    </w:p>
    <w:tbl>
      <w:tblPr>
        <w:tblStyle w:val="8"/>
        <w:tblW w:w="8522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1068"/>
        <w:gridCol w:w="1100"/>
        <w:gridCol w:w="1375"/>
        <w:gridCol w:w="1377"/>
        <w:gridCol w:w="1374"/>
        <w:gridCol w:w="137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测风塔编号</w:t>
            </w:r>
          </w:p>
        </w:tc>
        <w:tc>
          <w:tcPr>
            <w:tcW w:w="27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1498#100m</w:t>
            </w:r>
          </w:p>
        </w:tc>
        <w:tc>
          <w:tcPr>
            <w:tcW w:w="27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1499#100m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Bin</w:t>
            </w:r>
          </w:p>
        </w:tc>
        <w:tc>
          <w:tcPr>
            <w:tcW w:w="21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Bin 区间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样本数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频率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样本数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频率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下限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上限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0.497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0.539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732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1.402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933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1.799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1,519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2.909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1,914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3.691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2,920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5.593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3,425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6.606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4,297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8.230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4,980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9.605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5,587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10.701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5,853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11.288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6,918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13.250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6,232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12.019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7,132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13.660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6,480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12.498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7,031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13.467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6,118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11.799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5,958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11.412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5,319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10.258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4,342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8.316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4,158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8.019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2,777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5.319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2,833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5.464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1,439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2.756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1,692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3.263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799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1.530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962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1.855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0.758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465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0.897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0.385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0.447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0.159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0.226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0.069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0.179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0.058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0.019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0.015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0.006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0.000</w:t>
            </w:r>
          </w:p>
        </w:tc>
      </w:tr>
    </w:tbl>
    <w:p>
      <w:pPr>
        <w:pStyle w:val="31"/>
        <w:rPr>
          <w:rFonts w:ascii="宋体" w:hAnsi="宋体" w:eastAsia="宋体"/>
          <w:szCs w:val="24"/>
        </w:rPr>
      </w:pPr>
      <w:r>
        <w:rPr>
          <w:rFonts w:hint="eastAsia" w:cs="Times New Roman" w:asciiTheme="minorEastAsia" w:hAnsiTheme="minorEastAsia"/>
          <w:color w:val="000000"/>
          <w:szCs w:val="21"/>
          <w:u w:color="000000"/>
        </w:rPr>
        <w:drawing>
          <wp:inline distT="0" distB="0" distL="114300" distR="114300">
            <wp:extent cx="4884420" cy="3743960"/>
            <wp:effectExtent l="0" t="0" r="11430" b="8890"/>
            <wp:docPr id="12" name="图片 12" descr="02 1498 威布尔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02 1498 威布尔分布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黑体" w:hAnsi="Times New Roman" w:eastAsia="黑体" w:cs="Times New Roman"/>
          <w:kern w:val="0"/>
          <w:szCs w:val="20"/>
        </w:rPr>
      </w:pPr>
      <w:r>
        <w:rPr>
          <w:rFonts w:hint="eastAsia" w:ascii="黑体" w:hAnsi="Times New Roman" w:eastAsia="黑体" w:cs="Times New Roman"/>
          <w:kern w:val="0"/>
          <w:szCs w:val="20"/>
        </w:rPr>
        <w:t>图2-5 1498#测风塔100m高度威布尔分布</w:t>
      </w:r>
    </w:p>
    <w:p>
      <w:pPr>
        <w:ind w:firstLine="482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drawing>
          <wp:inline distT="0" distB="0" distL="114300" distR="114300">
            <wp:extent cx="4860290" cy="3726180"/>
            <wp:effectExtent l="0" t="0" r="16510" b="7620"/>
            <wp:docPr id="13" name="图片 13" descr="02 1499 威布尔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2 1499 威布尔分布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黑体" w:hAnsi="Times New Roman" w:eastAsia="黑体" w:cs="Times New Roman"/>
          <w:kern w:val="0"/>
          <w:szCs w:val="20"/>
        </w:rPr>
      </w:pPr>
      <w:r>
        <w:rPr>
          <w:rFonts w:hint="eastAsia" w:ascii="黑体" w:hAnsi="Times New Roman" w:eastAsia="黑体" w:cs="Times New Roman"/>
          <w:kern w:val="0"/>
          <w:szCs w:val="20"/>
        </w:rPr>
        <w:t>图2-6 1499#测风塔100m高度威布尔分布</w:t>
      </w:r>
    </w:p>
    <w:p>
      <w:pPr>
        <w:rPr>
          <w:rFonts w:ascii="黑体" w:hAnsi="Times New Roman" w:eastAsia="黑体" w:cs="Times New Roman"/>
          <w:kern w:val="0"/>
          <w:szCs w:val="20"/>
        </w:rPr>
      </w:pPr>
      <w:r>
        <w:rPr>
          <w:rFonts w:hint="eastAsia" w:ascii="黑体" w:hAnsi="Times New Roman" w:eastAsia="黑体" w:cs="Times New Roman"/>
          <w:kern w:val="0"/>
          <w:szCs w:val="20"/>
        </w:rPr>
        <w:br w:type="page"/>
      </w:r>
    </w:p>
    <w:p>
      <w:pPr>
        <w:pStyle w:val="32"/>
        <w:numPr>
          <w:ilvl w:val="2"/>
          <w:numId w:val="1"/>
        </w:numPr>
        <w:spacing w:before="312" w:beforeLines="100" w:after="0" w:afterLines="0"/>
        <w:rPr>
          <w:rFonts w:ascii="Arial" w:hAnsi="宋体" w:eastAsiaTheme="minorEastAsia" w:cstheme="minorBidi"/>
          <w:kern w:val="2"/>
          <w:sz w:val="21"/>
          <w:szCs w:val="22"/>
        </w:rPr>
      </w:pPr>
      <w:bookmarkStart w:id="8" w:name="_Toc404764718"/>
      <w:bookmarkStart w:id="9" w:name="_Toc51266143"/>
      <w:bookmarkStart w:id="10" w:name="_Toc342643212"/>
      <w:bookmarkStart w:id="11" w:name="_Toc368313145"/>
      <w:bookmarkStart w:id="12" w:name="_Toc333835964"/>
      <w:r>
        <w:rPr>
          <w:rFonts w:hint="eastAsia" w:ascii="Arial" w:hAnsi="宋体" w:eastAsiaTheme="minorEastAsia" w:cstheme="minorBidi"/>
          <w:kern w:val="2"/>
          <w:sz w:val="21"/>
          <w:szCs w:val="22"/>
        </w:rPr>
        <w:t>风切变</w:t>
      </w:r>
      <w:bookmarkEnd w:id="8"/>
      <w:bookmarkEnd w:id="9"/>
      <w:bookmarkEnd w:id="10"/>
      <w:bookmarkEnd w:id="11"/>
    </w:p>
    <w:p>
      <w:pPr>
        <w:pStyle w:val="31"/>
        <w:rPr>
          <w:rFonts w:hAnsi="宋体" w:cstheme="minorBidi"/>
          <w:kern w:val="2"/>
          <w:sz w:val="21"/>
          <w:szCs w:val="22"/>
        </w:rPr>
      </w:pPr>
      <w:bookmarkStart w:id="13" w:name="_Toc342643213"/>
      <w:r>
        <w:rPr>
          <w:rFonts w:hint="eastAsia" w:hAnsi="宋体" w:cstheme="minorBidi"/>
          <w:kern w:val="2"/>
          <w:sz w:val="21"/>
          <w:szCs w:val="22"/>
        </w:rPr>
        <w:t>风切变在这里指的是风的垂直切变，是水平风速在垂直距离上的变化。风切变指数随着场址位置、测层不同而不同。风切变指数越大，证明轮毂高度越高，风资源条件越好，能获得更好的发电效益，但风切变过大，作用于风机叶轮的荷载则更不平衡，不利于风机的稳定运行。IEC 61400-1以0.2的风切变指数定义风机设计的垂直风况条件，由于风切变受地形、地貌、年份、季节等影响。在内陆平坦地形风电场，受地表粗糙度的影响，容易产生较大的风切变现象。风速随高度变化服从普朗特经验公式，利用风切变幂律（风廓线）公式求得不同高度的风切变指数。</w:t>
      </w:r>
    </w:p>
    <w:p>
      <w:pPr>
        <w:pStyle w:val="35"/>
        <w:jc w:val="center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drawing>
          <wp:inline distT="0" distB="0" distL="0" distR="0">
            <wp:extent cx="752475" cy="590550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1"/>
        <w:rPr>
          <w:rFonts w:hAnsi="宋体" w:cstheme="minorBidi"/>
          <w:kern w:val="2"/>
          <w:sz w:val="21"/>
          <w:szCs w:val="22"/>
        </w:rPr>
      </w:pPr>
      <w:r>
        <w:rPr>
          <w:rFonts w:hint="eastAsia" w:hAnsi="宋体" w:cstheme="minorBidi"/>
          <w:kern w:val="2"/>
          <w:sz w:val="21"/>
          <w:szCs w:val="22"/>
        </w:rPr>
        <w:t>风切变指数越大，证明越往高处，风速的增长的指数关系越大。风切变指数越小，证明越往高处，风速的增长的指数关系越小。1498#测风塔 100m处综合风切变指数0.272；1499#测风塔 100m处综合风切变指数0.290；测风塔各测层间实测风切变指数见表2-9、表2-10。实测及拟合后的垂直风廓线见图</w:t>
      </w:r>
      <w:r>
        <w:rPr>
          <w:rFonts w:hint="eastAsia" w:hAnsi="宋体" w:cstheme="minorBidi"/>
          <w:kern w:val="2"/>
          <w:sz w:val="21"/>
          <w:szCs w:val="22"/>
          <w:lang w:val="en-GB"/>
        </w:rPr>
        <w:t>2</w:t>
      </w:r>
      <w:r>
        <w:rPr>
          <w:rFonts w:hint="eastAsia" w:hAnsi="宋体" w:cstheme="minorBidi"/>
          <w:kern w:val="2"/>
          <w:sz w:val="21"/>
          <w:szCs w:val="22"/>
        </w:rPr>
        <w:t>-7。</w:t>
      </w:r>
    </w:p>
    <w:p>
      <w:pPr>
        <w:pStyle w:val="34"/>
        <w:numPr>
          <w:ilvl w:val="0"/>
          <w:numId w:val="0"/>
        </w:numPr>
        <w:spacing w:before="156" w:afterLines="0"/>
      </w:pPr>
      <w:r>
        <w:rPr>
          <w:rFonts w:hint="eastAsia"/>
        </w:rPr>
        <w:t>表2-9  1498#测风塔各层风切变指数</w:t>
      </w: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179"/>
        <w:gridCol w:w="1179"/>
        <w:gridCol w:w="1179"/>
        <w:gridCol w:w="1179"/>
        <w:gridCol w:w="1179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测层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100m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100m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80m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8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7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50m</w:t>
            </w:r>
          </w:p>
        </w:tc>
        <w:tc>
          <w:tcPr>
            <w:tcW w:w="117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30m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100m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1179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0.247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0.252</w:t>
            </w:r>
          </w:p>
        </w:tc>
        <w:tc>
          <w:tcPr>
            <w:tcW w:w="117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0.265</w:t>
            </w:r>
          </w:p>
        </w:tc>
        <w:tc>
          <w:tcPr>
            <w:tcW w:w="117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100m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0.285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0.289</w:t>
            </w:r>
          </w:p>
        </w:tc>
        <w:tc>
          <w:tcPr>
            <w:tcW w:w="117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0.277</w:t>
            </w:r>
          </w:p>
        </w:tc>
        <w:tc>
          <w:tcPr>
            <w:tcW w:w="117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80m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17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0.273</w:t>
            </w:r>
          </w:p>
        </w:tc>
        <w:tc>
          <w:tcPr>
            <w:tcW w:w="117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80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B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0.271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5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0m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4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3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0m</w:t>
            </w: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179" w:type="dxa"/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hAnsi="黑体"/>
        </w:rPr>
      </w:pPr>
      <w:r>
        <w:rPr>
          <w:rFonts w:hint="eastAsia" w:cs="宋体" w:asciiTheme="minorEastAsia" w:hAnsiTheme="minorEastAsia"/>
          <w:color w:val="000000"/>
          <w:sz w:val="18"/>
          <w:szCs w:val="18"/>
        </w:rPr>
        <w:t>*1498#</w:t>
      </w:r>
      <w:r>
        <w:rPr>
          <w:rFonts w:cs="宋体" w:asciiTheme="minorEastAsia" w:hAnsiTheme="minorEastAsia"/>
          <w:color w:val="000000"/>
          <w:sz w:val="18"/>
          <w:szCs w:val="18"/>
        </w:rPr>
        <w:t xml:space="preserve"> 1</w:t>
      </w:r>
      <w:r>
        <w:rPr>
          <w:rFonts w:hint="eastAsia" w:cs="宋体" w:asciiTheme="minorEastAsia" w:hAnsiTheme="minorEastAsia"/>
          <w:color w:val="000000"/>
          <w:sz w:val="18"/>
          <w:szCs w:val="18"/>
        </w:rPr>
        <w:t>0</w:t>
      </w:r>
      <w:r>
        <w:rPr>
          <w:rFonts w:cs="宋体" w:asciiTheme="minorEastAsia" w:hAnsiTheme="minorEastAsia"/>
          <w:color w:val="000000"/>
          <w:sz w:val="18"/>
          <w:szCs w:val="18"/>
        </w:rPr>
        <w:t>0</w:t>
      </w:r>
      <w:r>
        <w:rPr>
          <w:rFonts w:hint="eastAsia" w:cs="宋体" w:asciiTheme="minorEastAsia" w:hAnsiTheme="minorEastAsia"/>
          <w:color w:val="000000"/>
          <w:sz w:val="18"/>
          <w:szCs w:val="18"/>
        </w:rPr>
        <w:t>m采用3</w:t>
      </w:r>
      <w:r>
        <w:rPr>
          <w:rFonts w:cs="宋体" w:asciiTheme="minorEastAsia" w:hAnsiTheme="minorEastAsia"/>
          <w:color w:val="000000"/>
          <w:sz w:val="18"/>
          <w:szCs w:val="18"/>
        </w:rPr>
        <w:t>0</w:t>
      </w:r>
      <w:r>
        <w:rPr>
          <w:rFonts w:hint="eastAsia" w:cs="宋体" w:asciiTheme="minorEastAsia" w:hAnsiTheme="minorEastAsia"/>
          <w:color w:val="000000"/>
          <w:sz w:val="18"/>
          <w:szCs w:val="18"/>
        </w:rPr>
        <w:t>m/50m/80mB/</w:t>
      </w:r>
      <w:r>
        <w:rPr>
          <w:rFonts w:cs="宋体" w:asciiTheme="minorEastAsia" w:hAnsiTheme="minorEastAsia"/>
          <w:color w:val="000000"/>
          <w:sz w:val="18"/>
          <w:szCs w:val="18"/>
        </w:rPr>
        <w:t>100</w:t>
      </w:r>
      <w:r>
        <w:rPr>
          <w:rFonts w:hint="eastAsia" w:cs="宋体" w:asciiTheme="minorEastAsia" w:hAnsiTheme="minorEastAsia"/>
          <w:color w:val="000000"/>
          <w:sz w:val="18"/>
          <w:szCs w:val="18"/>
        </w:rPr>
        <w:t>mB</w:t>
      </w:r>
      <w:r>
        <w:rPr>
          <w:rFonts w:cs="宋体" w:asciiTheme="minorEastAsia" w:hAnsiTheme="minorEastAsia"/>
          <w:color w:val="000000"/>
          <w:sz w:val="18"/>
          <w:szCs w:val="18"/>
        </w:rPr>
        <w:t xml:space="preserve"> </w:t>
      </w:r>
      <w:r>
        <w:rPr>
          <w:rFonts w:hint="eastAsia" w:cs="宋体" w:asciiTheme="minorEastAsia" w:hAnsiTheme="minorEastAsia"/>
          <w:color w:val="000000"/>
          <w:sz w:val="18"/>
          <w:szCs w:val="18"/>
        </w:rPr>
        <w:t>综合风切变指数0</w:t>
      </w:r>
      <w:r>
        <w:rPr>
          <w:rFonts w:cs="宋体" w:asciiTheme="minorEastAsia" w:hAnsiTheme="minorEastAsia"/>
          <w:color w:val="000000"/>
          <w:sz w:val="18"/>
          <w:szCs w:val="18"/>
        </w:rPr>
        <w:t>.</w:t>
      </w:r>
      <w:r>
        <w:rPr>
          <w:rFonts w:hint="eastAsia" w:cs="宋体" w:asciiTheme="minorEastAsia" w:hAnsiTheme="minorEastAsia"/>
          <w:color w:val="000000"/>
          <w:sz w:val="18"/>
          <w:szCs w:val="18"/>
        </w:rPr>
        <w:t>272；</w:t>
      </w:r>
    </w:p>
    <w:p>
      <w:pPr>
        <w:pStyle w:val="34"/>
        <w:numPr>
          <w:ilvl w:val="0"/>
          <w:numId w:val="0"/>
        </w:numPr>
        <w:spacing w:before="156" w:afterLines="0"/>
      </w:pPr>
      <w:r>
        <w:rPr>
          <w:rFonts w:hint="eastAsia"/>
        </w:rPr>
        <w:t>表2-10  1499#测风塔各层风切变指数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035"/>
        <w:gridCol w:w="1035"/>
        <w:gridCol w:w="1035"/>
        <w:gridCol w:w="1035"/>
        <w:gridCol w:w="1035"/>
        <w:gridCol w:w="1035"/>
        <w:gridCol w:w="1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测层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100m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100m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B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80m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8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B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70m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50m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30m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100m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1035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0.312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0.219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0.308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0.267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100m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B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0.389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0.297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0.357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0.291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80m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--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0.302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0.245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80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m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B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0.457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0.289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70m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0.222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5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0m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0.297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3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0m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000000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  <w:shd w:val="clear" w:color="auto" w:fill="BEBEBE" w:themeFill="background1" w:themeFillShade="B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</w:tr>
    </w:tbl>
    <w:p>
      <w:pPr>
        <w:pStyle w:val="35"/>
        <w:ind w:firstLine="0" w:firstLineChars="0"/>
        <w:jc w:val="left"/>
        <w:rPr>
          <w:rFonts w:cs="宋体" w:asciiTheme="minorEastAsia" w:hAnsiTheme="minorEastAsia" w:eastAsiaTheme="minorEastAsia"/>
          <w:color w:val="000000"/>
          <w:kern w:val="2"/>
          <w:sz w:val="18"/>
          <w:szCs w:val="18"/>
        </w:rPr>
      </w:pPr>
      <w:r>
        <w:rPr>
          <w:rFonts w:hint="eastAsia" w:cs="宋体" w:asciiTheme="minorEastAsia" w:hAnsiTheme="minorEastAsia" w:eastAsiaTheme="minorEastAsia"/>
          <w:color w:val="000000"/>
          <w:kern w:val="2"/>
          <w:sz w:val="18"/>
          <w:szCs w:val="18"/>
        </w:rPr>
        <w:t>*1499#</w:t>
      </w:r>
      <w:r>
        <w:rPr>
          <w:rFonts w:cs="宋体" w:asciiTheme="minorEastAsia" w:hAnsiTheme="minorEastAsia" w:eastAsiaTheme="minorEastAsia"/>
          <w:color w:val="000000"/>
          <w:kern w:val="2"/>
          <w:sz w:val="18"/>
          <w:szCs w:val="18"/>
        </w:rPr>
        <w:t xml:space="preserve"> 1</w:t>
      </w:r>
      <w:r>
        <w:rPr>
          <w:rFonts w:hint="eastAsia" w:cs="宋体" w:asciiTheme="minorEastAsia" w:hAnsiTheme="minorEastAsia" w:eastAsiaTheme="minorEastAsia"/>
          <w:color w:val="000000"/>
          <w:kern w:val="2"/>
          <w:sz w:val="18"/>
          <w:szCs w:val="18"/>
        </w:rPr>
        <w:t>0</w:t>
      </w:r>
      <w:r>
        <w:rPr>
          <w:rFonts w:cs="宋体" w:asciiTheme="minorEastAsia" w:hAnsiTheme="minorEastAsia" w:eastAsiaTheme="minorEastAsia"/>
          <w:color w:val="000000"/>
          <w:kern w:val="2"/>
          <w:sz w:val="18"/>
          <w:szCs w:val="18"/>
        </w:rPr>
        <w:t>0</w:t>
      </w:r>
      <w:r>
        <w:rPr>
          <w:rFonts w:hint="eastAsia" w:cs="宋体" w:asciiTheme="minorEastAsia" w:hAnsiTheme="minorEastAsia" w:eastAsiaTheme="minorEastAsia"/>
          <w:color w:val="000000"/>
          <w:kern w:val="2"/>
          <w:sz w:val="18"/>
          <w:szCs w:val="18"/>
        </w:rPr>
        <w:t>m采用3</w:t>
      </w:r>
      <w:r>
        <w:rPr>
          <w:rFonts w:cs="宋体" w:asciiTheme="minorEastAsia" w:hAnsiTheme="minorEastAsia" w:eastAsiaTheme="minorEastAsia"/>
          <w:color w:val="000000"/>
          <w:kern w:val="2"/>
          <w:sz w:val="18"/>
          <w:szCs w:val="18"/>
        </w:rPr>
        <w:t>0</w:t>
      </w:r>
      <w:r>
        <w:rPr>
          <w:rFonts w:hint="eastAsia" w:cs="宋体" w:asciiTheme="minorEastAsia" w:hAnsiTheme="minorEastAsia" w:eastAsiaTheme="minorEastAsia"/>
          <w:color w:val="000000"/>
          <w:kern w:val="2"/>
          <w:sz w:val="18"/>
          <w:szCs w:val="18"/>
        </w:rPr>
        <w:t>m/50m/70m/80mB/</w:t>
      </w:r>
      <w:r>
        <w:rPr>
          <w:rFonts w:cs="宋体" w:asciiTheme="minorEastAsia" w:hAnsiTheme="minorEastAsia" w:eastAsiaTheme="minorEastAsia"/>
          <w:color w:val="000000"/>
          <w:kern w:val="2"/>
          <w:sz w:val="18"/>
          <w:szCs w:val="18"/>
        </w:rPr>
        <w:t>100</w:t>
      </w:r>
      <w:r>
        <w:rPr>
          <w:rFonts w:hint="eastAsia" w:cs="宋体" w:asciiTheme="minorEastAsia" w:hAnsiTheme="minorEastAsia" w:eastAsiaTheme="minorEastAsia"/>
          <w:color w:val="000000"/>
          <w:kern w:val="2"/>
          <w:sz w:val="18"/>
          <w:szCs w:val="18"/>
        </w:rPr>
        <w:t>mB</w:t>
      </w:r>
      <w:r>
        <w:rPr>
          <w:rFonts w:cs="宋体" w:asciiTheme="minorEastAsia" w:hAnsiTheme="minorEastAsia" w:eastAsiaTheme="minorEastAsia"/>
          <w:color w:val="000000"/>
          <w:kern w:val="2"/>
          <w:sz w:val="18"/>
          <w:szCs w:val="18"/>
        </w:rPr>
        <w:t xml:space="preserve"> </w:t>
      </w:r>
      <w:r>
        <w:rPr>
          <w:rFonts w:hint="eastAsia" w:cs="宋体" w:asciiTheme="minorEastAsia" w:hAnsiTheme="minorEastAsia" w:eastAsiaTheme="minorEastAsia"/>
          <w:color w:val="000000"/>
          <w:kern w:val="2"/>
          <w:sz w:val="18"/>
          <w:szCs w:val="18"/>
        </w:rPr>
        <w:t>综合风切变指数0</w:t>
      </w:r>
      <w:r>
        <w:rPr>
          <w:rFonts w:cs="宋体" w:asciiTheme="minorEastAsia" w:hAnsiTheme="minorEastAsia" w:eastAsiaTheme="minorEastAsia"/>
          <w:color w:val="000000"/>
          <w:kern w:val="2"/>
          <w:sz w:val="18"/>
          <w:szCs w:val="18"/>
        </w:rPr>
        <w:t>.</w:t>
      </w:r>
      <w:r>
        <w:rPr>
          <w:rFonts w:hint="eastAsia" w:cs="宋体" w:asciiTheme="minorEastAsia" w:hAnsiTheme="minorEastAsia" w:eastAsiaTheme="minorEastAsia"/>
          <w:color w:val="000000"/>
          <w:kern w:val="2"/>
          <w:sz w:val="18"/>
          <w:szCs w:val="18"/>
        </w:rPr>
        <w:t>290；</w:t>
      </w:r>
    </w:p>
    <w:p>
      <w:pPr>
        <w:pStyle w:val="35"/>
        <w:ind w:firstLine="0" w:firstLineChars="0"/>
        <w:jc w:val="left"/>
        <w:rPr>
          <w:rFonts w:cs="宋体" w:asciiTheme="minorEastAsia" w:hAnsiTheme="minorEastAsia" w:eastAsiaTheme="minorEastAsia"/>
          <w:color w:val="000000"/>
          <w:kern w:val="2"/>
          <w:sz w:val="18"/>
          <w:szCs w:val="18"/>
        </w:rPr>
      </w:pP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pStyle w:val="35"/>
              <w:ind w:firstLine="0" w:firstLineChars="0"/>
              <w:jc w:val="left"/>
              <w:rPr>
                <w:rFonts w:cs="宋体" w:asciiTheme="minorEastAsia" w:hAnsiTheme="minorEastAsia" w:eastAsiaTheme="minorEastAsia"/>
                <w:color w:val="000000"/>
                <w:kern w:val="2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2"/>
                <w:sz w:val="18"/>
                <w:szCs w:val="18"/>
              </w:rPr>
              <w:drawing>
                <wp:inline distT="0" distB="0" distL="114300" distR="114300">
                  <wp:extent cx="2552700" cy="2160270"/>
                  <wp:effectExtent l="0" t="0" r="0" b="11430"/>
                  <wp:docPr id="1" name="图片 1" descr="04 1498 风切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04 1498 风切变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pStyle w:val="35"/>
              <w:ind w:firstLine="0" w:firstLineChars="0"/>
              <w:jc w:val="left"/>
              <w:rPr>
                <w:rFonts w:cs="宋体" w:asciiTheme="minorEastAsia" w:hAnsiTheme="minorEastAsia" w:eastAsiaTheme="minorEastAsia"/>
                <w:color w:val="000000"/>
                <w:kern w:val="2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2"/>
                <w:sz w:val="18"/>
                <w:szCs w:val="18"/>
              </w:rPr>
              <w:drawing>
                <wp:inline distT="0" distB="0" distL="114300" distR="114300">
                  <wp:extent cx="2552700" cy="2160270"/>
                  <wp:effectExtent l="0" t="0" r="0" b="11430"/>
                  <wp:docPr id="2" name="图片 2" descr="04 1499 风切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04 1499 风切变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center"/>
        <w:rPr>
          <w:rFonts w:ascii="黑体" w:hAnsi="Times New Roman" w:eastAsia="黑体" w:cs="Times New Roman"/>
          <w:kern w:val="0"/>
          <w:szCs w:val="20"/>
        </w:rPr>
      </w:pPr>
      <w:r>
        <w:rPr>
          <w:rFonts w:hint="eastAsia" w:ascii="黑体" w:hAnsi="Times New Roman" w:eastAsia="黑体" w:cs="Times New Roman"/>
          <w:kern w:val="0"/>
          <w:szCs w:val="20"/>
        </w:rPr>
        <w:t>图2-7 1498#测风塔（左）1499#测风塔（右）垂直风廓线图</w:t>
      </w:r>
    </w:p>
    <w:p>
      <w:pPr>
        <w:pStyle w:val="32"/>
        <w:numPr>
          <w:ilvl w:val="2"/>
          <w:numId w:val="1"/>
        </w:numPr>
        <w:spacing w:before="312" w:beforeLines="100" w:after="0" w:afterLines="0"/>
        <w:rPr>
          <w:rFonts w:ascii="Arial" w:hAnsi="宋体" w:eastAsiaTheme="minorEastAsia" w:cstheme="minorBidi"/>
          <w:kern w:val="2"/>
          <w:sz w:val="21"/>
          <w:szCs w:val="22"/>
        </w:rPr>
      </w:pPr>
      <w:bookmarkStart w:id="14" w:name="_Toc51266144"/>
      <w:r>
        <w:rPr>
          <w:rFonts w:hint="eastAsia" w:ascii="Arial" w:hAnsi="宋体" w:eastAsiaTheme="minorEastAsia" w:cstheme="minorBidi"/>
          <w:kern w:val="2"/>
          <w:sz w:val="21"/>
          <w:szCs w:val="22"/>
        </w:rPr>
        <w:t>主风向及风能主方向</w:t>
      </w:r>
      <w:bookmarkEnd w:id="14"/>
    </w:p>
    <w:p>
      <w:pPr>
        <w:pStyle w:val="31"/>
        <w:rPr>
          <w:rFonts w:hAnsi="宋体" w:cstheme="minorBidi"/>
          <w:kern w:val="2"/>
          <w:sz w:val="21"/>
          <w:szCs w:val="22"/>
          <w:lang w:val="en-GB"/>
        </w:rPr>
      </w:pPr>
      <w:r>
        <w:rPr>
          <w:rFonts w:hint="eastAsia" w:hAnsi="宋体" w:cstheme="minorBidi"/>
          <w:kern w:val="2"/>
          <w:sz w:val="21"/>
          <w:szCs w:val="22"/>
        </w:rPr>
        <w:t>1498</w:t>
      </w:r>
      <w:r>
        <w:rPr>
          <w:rFonts w:hint="eastAsia" w:hAnsi="宋体" w:cstheme="minorBidi"/>
          <w:kern w:val="2"/>
          <w:sz w:val="21"/>
          <w:szCs w:val="22"/>
          <w:lang w:val="en-GB"/>
        </w:rPr>
        <w:t>#、</w:t>
      </w:r>
      <w:r>
        <w:rPr>
          <w:rFonts w:hint="eastAsia" w:hAnsi="宋体" w:cstheme="minorBidi"/>
          <w:kern w:val="2"/>
          <w:sz w:val="21"/>
          <w:szCs w:val="22"/>
        </w:rPr>
        <w:t>1499</w:t>
      </w:r>
      <w:r>
        <w:rPr>
          <w:rFonts w:hint="eastAsia" w:hAnsi="宋体" w:cstheme="minorBidi"/>
          <w:kern w:val="2"/>
          <w:sz w:val="21"/>
          <w:szCs w:val="22"/>
          <w:lang w:val="en-GB"/>
        </w:rPr>
        <w:t>#测风塔风向及风能密度方向玫瑰图如图</w:t>
      </w:r>
      <w:r>
        <w:rPr>
          <w:rFonts w:hint="eastAsia" w:hAnsi="宋体" w:cstheme="minorBidi"/>
          <w:kern w:val="2"/>
          <w:sz w:val="21"/>
          <w:szCs w:val="22"/>
        </w:rPr>
        <w:t>2-8、图2-9</w:t>
      </w:r>
      <w:r>
        <w:rPr>
          <w:rFonts w:hint="eastAsia" w:hAnsi="宋体" w:cstheme="minorBidi"/>
          <w:kern w:val="2"/>
          <w:sz w:val="21"/>
          <w:szCs w:val="22"/>
          <w:lang w:val="en-GB"/>
        </w:rPr>
        <w:t xml:space="preserve">所示，风电场主导方向相对集中，基本以 </w:t>
      </w:r>
      <w:r>
        <w:rPr>
          <w:rFonts w:hint="eastAsia" w:hAnsi="宋体" w:cstheme="minorBidi"/>
          <w:kern w:val="2"/>
          <w:sz w:val="21"/>
          <w:szCs w:val="22"/>
        </w:rPr>
        <w:t>N</w:t>
      </w:r>
      <w:r>
        <w:rPr>
          <w:rFonts w:hint="eastAsia" w:hAnsi="宋体" w:cstheme="minorBidi"/>
          <w:kern w:val="2"/>
          <w:sz w:val="21"/>
          <w:szCs w:val="22"/>
          <w:lang w:val="en-GB"/>
        </w:rPr>
        <w:t>NW、</w:t>
      </w:r>
      <w:r>
        <w:rPr>
          <w:rFonts w:hint="eastAsia" w:hAnsi="宋体" w:cstheme="minorBidi"/>
          <w:kern w:val="2"/>
          <w:sz w:val="21"/>
          <w:szCs w:val="22"/>
        </w:rPr>
        <w:t>N</w:t>
      </w:r>
      <w:r>
        <w:rPr>
          <w:rFonts w:hint="eastAsia" w:hAnsi="宋体" w:cstheme="minorBidi"/>
          <w:kern w:val="2"/>
          <w:sz w:val="21"/>
          <w:szCs w:val="22"/>
          <w:lang w:val="en-GB"/>
        </w:rPr>
        <w:t xml:space="preserve"> 和</w:t>
      </w:r>
      <w:r>
        <w:rPr>
          <w:rFonts w:hint="eastAsia" w:hAnsi="宋体" w:cstheme="minorBidi"/>
          <w:kern w:val="2"/>
          <w:sz w:val="21"/>
          <w:szCs w:val="22"/>
        </w:rPr>
        <w:t>S</w:t>
      </w:r>
      <w:r>
        <w:rPr>
          <w:rFonts w:hint="eastAsia" w:hAnsi="宋体" w:cstheme="minorBidi"/>
          <w:kern w:val="2"/>
          <w:sz w:val="21"/>
          <w:szCs w:val="22"/>
          <w:lang w:val="en-GB"/>
        </w:rPr>
        <w:t xml:space="preserve">SW为主，其他方向风向频率较少。主风能方向与主风向相一致，以 </w:t>
      </w:r>
      <w:r>
        <w:rPr>
          <w:rFonts w:hint="eastAsia" w:hAnsi="宋体" w:cstheme="minorBidi"/>
          <w:kern w:val="2"/>
          <w:sz w:val="21"/>
          <w:szCs w:val="22"/>
        </w:rPr>
        <w:t>N</w:t>
      </w:r>
      <w:r>
        <w:rPr>
          <w:rFonts w:hint="eastAsia" w:hAnsi="宋体" w:cstheme="minorBidi"/>
          <w:kern w:val="2"/>
          <w:sz w:val="21"/>
          <w:szCs w:val="22"/>
          <w:lang w:val="en-GB"/>
        </w:rPr>
        <w:t>NW、</w:t>
      </w:r>
      <w:r>
        <w:rPr>
          <w:rFonts w:hint="eastAsia" w:hAnsi="宋体" w:cstheme="minorBidi"/>
          <w:kern w:val="2"/>
          <w:sz w:val="21"/>
          <w:szCs w:val="22"/>
        </w:rPr>
        <w:t>N</w:t>
      </w:r>
      <w:r>
        <w:rPr>
          <w:rFonts w:hint="eastAsia" w:hAnsi="宋体" w:cstheme="minorBidi"/>
          <w:kern w:val="2"/>
          <w:sz w:val="21"/>
          <w:szCs w:val="22"/>
          <w:lang w:val="en-GB"/>
        </w:rPr>
        <w:t xml:space="preserve"> 和</w:t>
      </w:r>
      <w:r>
        <w:rPr>
          <w:rFonts w:hint="eastAsia" w:hAnsi="宋体" w:cstheme="minorBidi"/>
          <w:kern w:val="2"/>
          <w:sz w:val="21"/>
          <w:szCs w:val="22"/>
        </w:rPr>
        <w:t>S</w:t>
      </w:r>
      <w:r>
        <w:rPr>
          <w:rFonts w:hint="eastAsia" w:hAnsi="宋体" w:cstheme="minorBidi"/>
          <w:kern w:val="2"/>
          <w:sz w:val="21"/>
          <w:szCs w:val="22"/>
          <w:lang w:val="en-GB"/>
        </w:rPr>
        <w:t>SW为主，其他方向风能频率较少。</w:t>
      </w:r>
    </w:p>
    <w:tbl>
      <w:tblPr>
        <w:tblStyle w:val="9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pStyle w:val="31"/>
              <w:ind w:firstLine="0"/>
              <w:rPr>
                <w:rFonts w:hAnsi="宋体" w:cstheme="minorBidi"/>
                <w:kern w:val="2"/>
                <w:sz w:val="21"/>
                <w:szCs w:val="22"/>
              </w:rPr>
            </w:pPr>
            <w:r>
              <w:rPr>
                <w:rFonts w:hint="eastAsia" w:hAnsi="宋体" w:cstheme="minorBidi"/>
                <w:kern w:val="2"/>
                <w:sz w:val="21"/>
                <w:szCs w:val="22"/>
              </w:rPr>
              <w:drawing>
                <wp:inline distT="0" distB="0" distL="114300" distR="114300">
                  <wp:extent cx="2553335" cy="2160270"/>
                  <wp:effectExtent l="0" t="0" r="18415" b="11430"/>
                  <wp:docPr id="9" name="图片 9" descr="04 1498 风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04 1498 风向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335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pStyle w:val="31"/>
              <w:ind w:firstLine="0"/>
              <w:rPr>
                <w:rFonts w:hAnsi="宋体" w:cstheme="minorBidi"/>
                <w:kern w:val="2"/>
                <w:sz w:val="21"/>
                <w:szCs w:val="22"/>
              </w:rPr>
            </w:pPr>
            <w:r>
              <w:rPr>
                <w:rFonts w:hint="eastAsia" w:hAnsi="宋体" w:cstheme="minorBidi"/>
                <w:kern w:val="2"/>
                <w:sz w:val="21"/>
                <w:szCs w:val="22"/>
              </w:rPr>
              <w:drawing>
                <wp:inline distT="0" distB="0" distL="114300" distR="114300">
                  <wp:extent cx="2553335" cy="2160270"/>
                  <wp:effectExtent l="0" t="0" r="18415" b="11430"/>
                  <wp:docPr id="10" name="图片 10" descr="04 1498 风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04 1498 风能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335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center"/>
        <w:rPr>
          <w:rFonts w:ascii="黑体" w:hAnsi="Times New Roman" w:eastAsia="黑体" w:cs="Times New Roman"/>
          <w:kern w:val="0"/>
          <w:szCs w:val="20"/>
        </w:rPr>
      </w:pPr>
      <w:r>
        <w:rPr>
          <w:rFonts w:hint="eastAsia" w:ascii="黑体" w:hAnsi="Times New Roman" w:eastAsia="黑体" w:cs="Times New Roman"/>
          <w:kern w:val="0"/>
          <w:szCs w:val="20"/>
        </w:rPr>
        <w:t xml:space="preserve"> 图2-8 1498#风向（左）及风能（右）玫瑰图（100m）</w:t>
      </w:r>
    </w:p>
    <w:tbl>
      <w:tblPr>
        <w:tblStyle w:val="9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pStyle w:val="31"/>
              <w:ind w:firstLine="0"/>
              <w:rPr>
                <w:rFonts w:hAnsi="宋体" w:cstheme="minorBidi"/>
                <w:kern w:val="2"/>
                <w:sz w:val="21"/>
                <w:szCs w:val="22"/>
              </w:rPr>
            </w:pPr>
            <w:r>
              <w:rPr>
                <w:rFonts w:hint="eastAsia" w:hAnsi="宋体" w:cstheme="minorBidi"/>
                <w:kern w:val="2"/>
                <w:sz w:val="21"/>
                <w:szCs w:val="22"/>
              </w:rPr>
              <w:drawing>
                <wp:inline distT="0" distB="0" distL="114300" distR="114300">
                  <wp:extent cx="2566035" cy="2171700"/>
                  <wp:effectExtent l="0" t="0" r="5715" b="0"/>
                  <wp:docPr id="20" name="图片 20" descr="04 1499 风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04 1499 风向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pStyle w:val="31"/>
              <w:ind w:firstLine="0"/>
              <w:rPr>
                <w:rFonts w:hAnsi="宋体" w:cstheme="minorBidi"/>
                <w:kern w:val="2"/>
                <w:sz w:val="21"/>
                <w:szCs w:val="22"/>
              </w:rPr>
            </w:pPr>
            <w:r>
              <w:rPr>
                <w:rFonts w:hint="eastAsia" w:hAnsi="宋体" w:cstheme="minorBidi"/>
                <w:kern w:val="2"/>
                <w:sz w:val="21"/>
                <w:szCs w:val="22"/>
              </w:rPr>
              <w:drawing>
                <wp:inline distT="0" distB="0" distL="114300" distR="114300">
                  <wp:extent cx="2566035" cy="2171700"/>
                  <wp:effectExtent l="0" t="0" r="5715" b="0"/>
                  <wp:docPr id="21" name="图片 21" descr="04 1499 风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04 1499 风能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center"/>
        <w:rPr>
          <w:rFonts w:ascii="黑体" w:hAnsi="Times New Roman" w:eastAsia="黑体" w:cs="Times New Roman"/>
          <w:kern w:val="0"/>
          <w:szCs w:val="20"/>
        </w:rPr>
      </w:pPr>
      <w:r>
        <w:rPr>
          <w:rFonts w:hint="eastAsia" w:ascii="黑体" w:hAnsi="Times New Roman" w:eastAsia="黑体" w:cs="Times New Roman"/>
          <w:kern w:val="0"/>
          <w:szCs w:val="20"/>
        </w:rPr>
        <w:t xml:space="preserve"> 图2-9 1499#风向（左）及风能（右）玫瑰图（100m）</w:t>
      </w:r>
    </w:p>
    <w:p>
      <w:pPr>
        <w:pStyle w:val="32"/>
        <w:numPr>
          <w:ilvl w:val="2"/>
          <w:numId w:val="1"/>
        </w:numPr>
        <w:spacing w:before="312" w:beforeLines="100" w:after="0" w:afterLines="0"/>
        <w:rPr>
          <w:rFonts w:ascii="Arial" w:hAnsi="宋体" w:eastAsiaTheme="minorEastAsia" w:cstheme="minorBidi"/>
          <w:kern w:val="2"/>
          <w:sz w:val="21"/>
          <w:szCs w:val="22"/>
        </w:rPr>
      </w:pPr>
      <w:bookmarkStart w:id="15" w:name="_Toc51266145"/>
      <w:bookmarkStart w:id="16" w:name="_Toc368313146"/>
      <w:bookmarkStart w:id="17" w:name="_Toc404764719"/>
      <w:r>
        <w:rPr>
          <w:rFonts w:hint="eastAsia" w:ascii="Arial" w:hAnsi="宋体" w:eastAsiaTheme="minorEastAsia" w:cstheme="minorBidi"/>
          <w:kern w:val="2"/>
          <w:sz w:val="21"/>
          <w:szCs w:val="22"/>
        </w:rPr>
        <w:t>湍流强度</w:t>
      </w:r>
      <w:bookmarkEnd w:id="13"/>
      <w:bookmarkEnd w:id="15"/>
      <w:bookmarkEnd w:id="16"/>
      <w:bookmarkEnd w:id="17"/>
    </w:p>
    <w:p>
      <w:pPr>
        <w:pStyle w:val="31"/>
        <w:rPr>
          <w:rFonts w:hAnsi="宋体" w:cstheme="minorBidi"/>
          <w:kern w:val="2"/>
          <w:sz w:val="21"/>
          <w:szCs w:val="22"/>
        </w:rPr>
      </w:pPr>
      <w:r>
        <w:rPr>
          <w:rFonts w:hint="eastAsia" w:hAnsi="宋体" w:cstheme="minorBidi"/>
          <w:kern w:val="2"/>
          <w:sz w:val="21"/>
          <w:szCs w:val="22"/>
        </w:rPr>
        <w:t>湍流是指风速、风向及其垂直分量的迅速扰动或不规律性，是重要的风况特征和评价气流稳定程度的指标。其很大程度上取决于环境的粗糙度、地层稳定性和障碍物。湍流强度是脉动风速的均方差与平均风速的比值。其计算公式为：</w:t>
      </w:r>
    </w:p>
    <w:tbl>
      <w:tblPr>
        <w:tblStyle w:val="8"/>
        <w:tblW w:w="659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  <w:jc w:val="center"/>
        </w:trPr>
        <w:tc>
          <w:tcPr>
            <w:tcW w:w="659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504190" cy="436245"/>
                  <wp:effectExtent l="0" t="0" r="10160" b="1270"/>
                  <wp:docPr id="1054" name="图片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" name="图片 9"/>
                          <pic:cNvPicPr/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49" cy="43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ind w:firstLine="420" w:firstLineChars="200"/>
        <w:rPr>
          <w:rFonts w:hAnsi="宋体"/>
        </w:rPr>
      </w:pPr>
      <w:r>
        <w:rPr>
          <w:rFonts w:hint="eastAsia" w:hAnsi="宋体"/>
        </w:rPr>
        <w:t>式中：I—湍流强度；</w:t>
      </w:r>
    </w:p>
    <w:p>
      <w:pPr>
        <w:spacing w:line="360" w:lineRule="auto"/>
        <w:ind w:firstLine="420" w:firstLineChars="200"/>
        <w:rPr>
          <w:rFonts w:hAnsi="宋体"/>
        </w:rPr>
      </w:pPr>
      <w:r>
        <w:rPr>
          <w:rFonts w:hint="eastAsia" w:hAnsi="宋体"/>
        </w:rPr>
        <w:drawing>
          <wp:inline distT="0" distB="0" distL="0" distR="0">
            <wp:extent cx="161925" cy="161925"/>
            <wp:effectExtent l="0" t="0" r="9525" b="7620"/>
            <wp:docPr id="1055" name="_x0000_t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_x0000_t75"/>
                    <pic:cNvPicPr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</w:rPr>
        <w:t>v—10min风速标准偏差，m/s；</w:t>
      </w:r>
    </w:p>
    <w:p>
      <w:pPr>
        <w:spacing w:line="360" w:lineRule="auto"/>
        <w:ind w:firstLine="420" w:firstLineChars="200"/>
        <w:rPr>
          <w:rFonts w:hAnsi="宋体"/>
        </w:rPr>
      </w:pPr>
      <w:r>
        <w:rPr>
          <w:rFonts w:hint="eastAsia" w:hAnsi="宋体"/>
        </w:rPr>
        <w:drawing>
          <wp:inline distT="0" distB="0" distL="0" distR="0">
            <wp:extent cx="144145" cy="161925"/>
            <wp:effectExtent l="0" t="0" r="0" b="7620"/>
            <wp:docPr id="1056" name="_x0000_t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_x0000_t75"/>
                    <pic:cNvPicPr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</w:rPr>
        <w:t>—10min平均风速，m/s。</w:t>
      </w:r>
    </w:p>
    <w:p>
      <w:pPr>
        <w:pStyle w:val="31"/>
        <w:rPr>
          <w:rFonts w:hAnsi="宋体" w:cstheme="minorBidi"/>
          <w:kern w:val="2"/>
          <w:sz w:val="21"/>
          <w:szCs w:val="22"/>
        </w:rPr>
      </w:pPr>
      <w:r>
        <w:rPr>
          <w:rFonts w:hint="eastAsia" w:hAnsi="宋体" w:cstheme="minorBidi"/>
          <w:kern w:val="2"/>
          <w:sz w:val="21"/>
          <w:szCs w:val="22"/>
        </w:rPr>
        <w:t>对1498#、1499# 测风塔完整年期间的数据进行湍流强度统计，IEC标准中规定湍流强度采用15m/s风速段进行湍流的计算。各测层的湍流强度如表2-11、表2-12。1498#、1499# 测风塔100m各风速段的湍流强度如图2-10、图2-11。</w:t>
      </w:r>
    </w:p>
    <w:p>
      <w:pPr>
        <w:pStyle w:val="34"/>
        <w:numPr>
          <w:ilvl w:val="0"/>
          <w:numId w:val="0"/>
        </w:numPr>
        <w:spacing w:before="156" w:afterLines="0"/>
      </w:pPr>
      <w:r>
        <w:rPr>
          <w:rFonts w:hint="eastAsia"/>
        </w:rPr>
        <w:t>表2-11 1498#测风塔各高度湍流强度表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4"/>
        <w:gridCol w:w="1326"/>
        <w:gridCol w:w="1324"/>
        <w:gridCol w:w="1324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测层（m）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100mB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80mB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50m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30m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15m/s风速段数据量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15m/s平均湍流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0.111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0.128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0.132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</w:rPr>
              <w:t>TI</w:t>
            </w:r>
            <w:r>
              <w:rPr>
                <w:rFonts w:hint="eastAsia" w:asciiTheme="minorEastAsia" w:hAnsiTheme="minorEastAsia"/>
                <w:vertAlign w:val="subscript"/>
              </w:rPr>
              <w:t>15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（IEC2版）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0.142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0.161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0.163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</w:rPr>
              <w:t>TI</w:t>
            </w:r>
            <w:r>
              <w:rPr>
                <w:rFonts w:hint="eastAsia" w:asciiTheme="minorEastAsia" w:hAnsiTheme="minorEastAsia"/>
                <w:vertAlign w:val="subscript"/>
              </w:rPr>
              <w:t>15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（IEC3版）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0.150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0.171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0.171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湍流强度等级（ed3）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C类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</w:tr>
    </w:tbl>
    <w:p>
      <w:pPr>
        <w:pStyle w:val="34"/>
        <w:numPr>
          <w:ilvl w:val="0"/>
          <w:numId w:val="0"/>
        </w:numPr>
        <w:spacing w:before="156" w:afterLines="0"/>
      </w:pPr>
      <w:r>
        <w:rPr>
          <w:rFonts w:hint="eastAsia"/>
        </w:rPr>
        <w:t>表2-12 1499#测风塔各高度湍流强度表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4"/>
        <w:gridCol w:w="1326"/>
        <w:gridCol w:w="1324"/>
        <w:gridCol w:w="1324"/>
        <w:gridCol w:w="13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测层（m）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100mB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80mB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50m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30m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15m/s风速段数据量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15m/s平均湍流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0.104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0.127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0.135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</w:rPr>
              <w:t>TI</w:t>
            </w:r>
            <w:r>
              <w:rPr>
                <w:rFonts w:hint="eastAsia" w:asciiTheme="minorEastAsia" w:hAnsiTheme="minorEastAsia"/>
                <w:vertAlign w:val="subscript"/>
              </w:rPr>
              <w:t>15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（IEC2版）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0.149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0.171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0.168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</w:rPr>
              <w:t>TI</w:t>
            </w:r>
            <w:r>
              <w:rPr>
                <w:rFonts w:hint="eastAsia" w:asciiTheme="minorEastAsia" w:hAnsiTheme="minorEastAsia"/>
                <w:vertAlign w:val="subscript"/>
              </w:rPr>
              <w:t>15</w:t>
            </w: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（IEC3版）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0.162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0.184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0.178</w:t>
            </w: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0.167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湍流强度等级（IEC3版）</w:t>
            </w: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C类</w:t>
            </w: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324" w:type="dxa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</w:p>
        </w:tc>
      </w:tr>
    </w:tbl>
    <w:p>
      <w:pPr>
        <w:pStyle w:val="34"/>
        <w:numPr>
          <w:ilvl w:val="0"/>
          <w:numId w:val="0"/>
        </w:numPr>
        <w:spacing w:before="156" w:afterLines="0"/>
      </w:pPr>
      <w:r>
        <w:rPr>
          <w:rFonts w:hint="eastAsia"/>
        </w:rPr>
        <w:t>表2-13  湍流强度分类标准</w:t>
      </w:r>
      <w:r>
        <w:t xml:space="preserve"> IEC 61400-1 3rd Edition</w:t>
      </w:r>
    </w:p>
    <w:tbl>
      <w:tblPr>
        <w:tblStyle w:val="8"/>
        <w:tblW w:w="849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49"/>
        <w:gridCol w:w="424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8499" w:type="dxa"/>
            <w:shd w:val="clear" w:color="auto" w:fill="auto"/>
            <w:vAlign w:val="center"/>
          </w:tcPr>
          <w:tbl>
            <w:tblPr>
              <w:tblStyle w:val="8"/>
              <w:tblW w:w="8465" w:type="dxa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279"/>
              <w:gridCol w:w="618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jc w:val="center"/>
              </w:trPr>
              <w:tc>
                <w:tcPr>
                  <w:tcW w:w="2279" w:type="dxa"/>
                  <w:tcBorders>
                    <w:top w:val="single" w:color="000000" w:themeColor="text1" w:sz="4" w:space="0"/>
                    <w:left w:val="single" w:color="000000" w:themeColor="text1" w:sz="2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color w:val="000000"/>
                      <w:sz w:val="18"/>
                      <w:szCs w:val="18"/>
                    </w:rPr>
                    <w:t>分类</w:t>
                  </w:r>
                </w:p>
              </w:tc>
              <w:tc>
                <w:tcPr>
                  <w:tcW w:w="6186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cs="宋体" w:asciiTheme="minorEastAsia" w:hAnsiTheme="minorEastAsia"/>
                      <w:color w:val="000000"/>
                      <w:sz w:val="18"/>
                      <w:szCs w:val="18"/>
                    </w:rPr>
                    <w:t>15m/s平均湍流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jc w:val="center"/>
              </w:trPr>
              <w:tc>
                <w:tcPr>
                  <w:tcW w:w="2279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186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  <w:t>&gt; 0.16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jc w:val="center"/>
              </w:trPr>
              <w:tc>
                <w:tcPr>
                  <w:tcW w:w="2279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6186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  <w:t>0.14-0.16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jc w:val="center"/>
              </w:trPr>
              <w:tc>
                <w:tcPr>
                  <w:tcW w:w="2279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6186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  <w:t>0.12-0.14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jc w:val="center"/>
              </w:trPr>
              <w:tc>
                <w:tcPr>
                  <w:tcW w:w="2279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6186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宋体" w:asciiTheme="minorEastAsia" w:hAnsiTheme="minorEastAsia"/>
                      <w:color w:val="000000"/>
                      <w:sz w:val="18"/>
                      <w:szCs w:val="18"/>
                    </w:rPr>
                    <w:t>0-0.12</w:t>
                  </w:r>
                </w:p>
              </w:tc>
            </w:tr>
          </w:tbl>
          <w:p>
            <w:pPr>
              <w:jc w:val="center"/>
              <w:rPr>
                <w:rFonts w:ascii="Verdana" w:hAnsi="Verdana" w:cs="Verdana"/>
                <w:sz w:val="16"/>
                <w:szCs w:val="16"/>
              </w:rPr>
            </w:pPr>
          </w:p>
        </w:tc>
      </w:tr>
    </w:tbl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5269230" cy="3264535"/>
            <wp:effectExtent l="0" t="0" r="7620" b="12065"/>
            <wp:docPr id="4" name="图片 4" descr="03 1498 代表湍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3 1498 代表湍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黑体" w:hAnsi="Times New Roman" w:eastAsia="黑体" w:cs="Times New Roman"/>
          <w:kern w:val="0"/>
          <w:szCs w:val="20"/>
        </w:rPr>
      </w:pPr>
      <w:r>
        <w:rPr>
          <w:rFonts w:hint="eastAsia" w:ascii="黑体" w:hAnsi="Times New Roman" w:eastAsia="黑体" w:cs="Times New Roman"/>
          <w:kern w:val="0"/>
          <w:szCs w:val="20"/>
        </w:rPr>
        <w:t>图2-10 1498#测风塔100m湍流强度（IEC3 版）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5269230" cy="3264535"/>
            <wp:effectExtent l="0" t="0" r="7620" b="12065"/>
            <wp:docPr id="8" name="图片 8" descr="03 1499 代表湍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3 1499 代表湍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黑体" w:hAnsi="Times New Roman" w:eastAsia="黑体" w:cs="Times New Roman"/>
          <w:kern w:val="0"/>
          <w:szCs w:val="20"/>
        </w:rPr>
      </w:pPr>
      <w:r>
        <w:rPr>
          <w:rFonts w:hint="eastAsia" w:ascii="黑体" w:hAnsi="Times New Roman" w:eastAsia="黑体" w:cs="Times New Roman"/>
          <w:kern w:val="0"/>
          <w:szCs w:val="20"/>
        </w:rPr>
        <w:t>图2-11 1499#测风塔100m湍流强度（IEC3 版）</w:t>
      </w:r>
    </w:p>
    <w:p>
      <w:pPr>
        <w:pStyle w:val="31"/>
        <w:rPr>
          <w:rFonts w:hAnsi="宋体" w:cstheme="minorBidi"/>
          <w:kern w:val="2"/>
          <w:sz w:val="21"/>
          <w:szCs w:val="22"/>
        </w:rPr>
      </w:pPr>
      <w:r>
        <w:rPr>
          <w:rFonts w:hint="eastAsia" w:hAnsi="宋体" w:cstheme="minorBidi"/>
          <w:kern w:val="2"/>
          <w:sz w:val="21"/>
          <w:szCs w:val="22"/>
        </w:rPr>
        <w:t>按照IEC61400-1第三版标准见表2-13，参考周期内1498#测风塔100m高处平均湍流为0.111，湍流强度TI</w:t>
      </w:r>
      <w:r>
        <w:rPr>
          <w:rFonts w:hint="eastAsia" w:hAnsi="宋体" w:cstheme="minorBidi"/>
          <w:kern w:val="2"/>
          <w:sz w:val="21"/>
          <w:szCs w:val="22"/>
          <w:vertAlign w:val="subscript"/>
        </w:rPr>
        <w:t>15</w:t>
      </w:r>
      <w:r>
        <w:rPr>
          <w:rFonts w:hint="eastAsia" w:hAnsi="宋体" w:cstheme="minorBidi"/>
          <w:kern w:val="2"/>
          <w:sz w:val="21"/>
          <w:szCs w:val="22"/>
        </w:rPr>
        <w:t>为0.150，湍流强度等级（IEC 3版）为C类；参考周期内1499#测风塔100m高处平均湍流为0.104，湍流强度TI</w:t>
      </w:r>
      <w:r>
        <w:rPr>
          <w:rFonts w:hint="eastAsia" w:hAnsi="宋体" w:cstheme="minorBidi"/>
          <w:kern w:val="2"/>
          <w:sz w:val="21"/>
          <w:szCs w:val="22"/>
          <w:vertAlign w:val="subscript"/>
        </w:rPr>
        <w:t>15</w:t>
      </w:r>
      <w:r>
        <w:rPr>
          <w:rFonts w:hint="eastAsia" w:hAnsi="宋体" w:cstheme="minorBidi"/>
          <w:kern w:val="2"/>
          <w:sz w:val="21"/>
          <w:szCs w:val="22"/>
        </w:rPr>
        <w:t>为0.162，湍流强度等级（IEC 3版）为C类。</w:t>
      </w:r>
    </w:p>
    <w:p>
      <w:pPr>
        <w:rPr>
          <w:rFonts w:ascii="黑体" w:hAnsi="Times New Roman" w:eastAsia="黑体" w:cs="Times New Roman"/>
          <w:kern w:val="0"/>
          <w:szCs w:val="20"/>
        </w:rPr>
      </w:pPr>
    </w:p>
    <w:bookmarkEnd w:id="12"/>
    <w:p>
      <w:pPr>
        <w:pStyle w:val="32"/>
        <w:numPr>
          <w:ilvl w:val="2"/>
          <w:numId w:val="1"/>
        </w:numPr>
        <w:spacing w:before="312" w:beforeLines="100" w:after="0" w:afterLines="0"/>
        <w:rPr>
          <w:rFonts w:ascii="Arial" w:hAnsi="宋体" w:eastAsiaTheme="minorEastAsia" w:cstheme="minorBidi"/>
          <w:kern w:val="2"/>
          <w:sz w:val="21"/>
          <w:szCs w:val="22"/>
        </w:rPr>
      </w:pPr>
      <w:bookmarkStart w:id="18" w:name="_Toc51266146"/>
      <w:bookmarkStart w:id="19" w:name="_Toc368313147"/>
      <w:bookmarkStart w:id="20" w:name="_Toc333835966"/>
      <w:bookmarkStart w:id="21" w:name="_Toc404764720"/>
      <w:r>
        <w:rPr>
          <w:rFonts w:hint="eastAsia" w:ascii="Arial" w:hAnsi="宋体" w:eastAsiaTheme="minorEastAsia" w:cstheme="minorBidi"/>
          <w:kern w:val="2"/>
          <w:sz w:val="21"/>
          <w:szCs w:val="22"/>
        </w:rPr>
        <w:t>最大风速</w:t>
      </w:r>
      <w:bookmarkEnd w:id="18"/>
      <w:bookmarkEnd w:id="19"/>
      <w:bookmarkEnd w:id="20"/>
      <w:bookmarkEnd w:id="21"/>
    </w:p>
    <w:p>
      <w:pPr>
        <w:pStyle w:val="31"/>
        <w:rPr>
          <w:rFonts w:hAnsi="宋体" w:cstheme="minorBidi"/>
          <w:kern w:val="2"/>
          <w:sz w:val="21"/>
          <w:szCs w:val="22"/>
        </w:rPr>
      </w:pPr>
      <w:r>
        <w:rPr>
          <w:rFonts w:hint="eastAsia" w:hAnsi="宋体" w:cstheme="minorBidi"/>
          <w:kern w:val="2"/>
          <w:sz w:val="21"/>
          <w:szCs w:val="22"/>
        </w:rPr>
        <w:t>（1）采用IEC规定的风机设计风速反推</w:t>
      </w:r>
    </w:p>
    <w:p>
      <w:pPr>
        <w:pStyle w:val="31"/>
      </w:pPr>
      <w:r>
        <w:rPr>
          <w:rFonts w:hint="eastAsia" w:hAnsi="宋体" w:cstheme="minorBidi"/>
          <w:kern w:val="2"/>
          <w:sz w:val="21"/>
          <w:szCs w:val="22"/>
        </w:rPr>
        <w:t>根据IEC61400（2005）风速分布模型规定的年平均风速与50年一遇10min平均最大风速之间的相关关系，即：</w:t>
      </w:r>
    </w:p>
    <w:p>
      <w:pPr>
        <w:pStyle w:val="31"/>
        <w:jc w:val="right"/>
      </w:pPr>
      <w:r>
        <w:rPr>
          <w:i/>
        </w:rPr>
        <w:t>V</w:t>
      </w:r>
      <w:r>
        <w:rPr>
          <w:i/>
          <w:vertAlign w:val="subscript"/>
        </w:rPr>
        <w:t>ave</w:t>
      </w:r>
      <w:r>
        <w:t>=0.2</w:t>
      </w:r>
      <w:r>
        <w:rPr>
          <w:i/>
        </w:rPr>
        <w:t>V</w:t>
      </w:r>
      <w:r>
        <w:rPr>
          <w:i/>
          <w:vertAlign w:val="subscript"/>
        </w:rPr>
        <w:t>ref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（1）</w:t>
      </w:r>
    </w:p>
    <w:p>
      <w:pPr>
        <w:pStyle w:val="31"/>
        <w:rPr>
          <w:rFonts w:hAnsi="宋体" w:cstheme="minorBidi"/>
          <w:kern w:val="2"/>
          <w:sz w:val="21"/>
          <w:szCs w:val="22"/>
        </w:rPr>
      </w:pPr>
      <w:r>
        <w:rPr>
          <w:rFonts w:hint="eastAsia" w:hAnsi="宋体" w:cstheme="minorBidi"/>
          <w:kern w:val="2"/>
          <w:sz w:val="21"/>
          <w:szCs w:val="22"/>
        </w:rPr>
        <w:t>其中，V</w:t>
      </w:r>
      <w:r>
        <w:rPr>
          <w:rFonts w:hint="eastAsia" w:hAnsi="宋体" w:cstheme="minorBidi"/>
          <w:kern w:val="2"/>
          <w:sz w:val="21"/>
          <w:szCs w:val="22"/>
          <w:vertAlign w:val="subscript"/>
        </w:rPr>
        <w:t>ave</w:t>
      </w:r>
      <w:r>
        <w:rPr>
          <w:rFonts w:hint="eastAsia" w:hAnsi="宋体" w:cstheme="minorBidi"/>
          <w:kern w:val="2"/>
          <w:sz w:val="21"/>
          <w:szCs w:val="22"/>
        </w:rPr>
        <w:t>为风电场的年平均风速；</w:t>
      </w:r>
    </w:p>
    <w:p>
      <w:pPr>
        <w:pStyle w:val="31"/>
        <w:ind w:firstLine="1108" w:firstLineChars="528"/>
        <w:rPr>
          <w:rFonts w:hAnsi="宋体" w:cstheme="minorBidi"/>
          <w:kern w:val="2"/>
          <w:sz w:val="21"/>
          <w:szCs w:val="22"/>
        </w:rPr>
      </w:pPr>
      <w:r>
        <w:rPr>
          <w:rFonts w:hint="eastAsia" w:hAnsi="宋体" w:cstheme="minorBidi"/>
          <w:kern w:val="2"/>
          <w:sz w:val="21"/>
          <w:szCs w:val="22"/>
        </w:rPr>
        <w:t>V</w:t>
      </w:r>
      <w:r>
        <w:rPr>
          <w:rFonts w:hint="eastAsia" w:hAnsi="宋体" w:cstheme="minorBidi"/>
          <w:kern w:val="2"/>
          <w:sz w:val="21"/>
          <w:szCs w:val="22"/>
          <w:vertAlign w:val="subscript"/>
        </w:rPr>
        <w:t>ref</w:t>
      </w:r>
      <w:r>
        <w:rPr>
          <w:rFonts w:hint="eastAsia" w:hAnsi="宋体" w:cstheme="minorBidi"/>
          <w:kern w:val="2"/>
          <w:sz w:val="21"/>
          <w:szCs w:val="22"/>
        </w:rPr>
        <w:t>为参考风速；</w:t>
      </w:r>
    </w:p>
    <w:p>
      <w:pPr>
        <w:pStyle w:val="34"/>
        <w:numPr>
          <w:ilvl w:val="0"/>
          <w:numId w:val="0"/>
        </w:numPr>
        <w:spacing w:before="156" w:afterLines="0"/>
      </w:pPr>
      <w:r>
        <w:rPr>
          <w:rFonts w:hint="eastAsia"/>
        </w:rPr>
        <w:t>表2-14  采用IEC规定的风机设计风速反推测风塔50年一遇最大风速统计表</w:t>
      </w:r>
    </w:p>
    <w:tbl>
      <w:tblPr>
        <w:tblStyle w:val="8"/>
        <w:tblW w:w="854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7"/>
        <w:gridCol w:w="1711"/>
        <w:gridCol w:w="1710"/>
        <w:gridCol w:w="1710"/>
        <w:gridCol w:w="17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54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五倍风速法结果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测风塔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最大风速（m/s）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极大风速(m/s)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标准空气密度下最大风速(m/s)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标准空气密度下极大风速(m/s)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1498#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35.24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49.34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35.17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49.24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1499#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34.64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48.49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34.57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48.40</w:t>
            </w:r>
          </w:p>
        </w:tc>
      </w:tr>
    </w:tbl>
    <w:p>
      <w:pPr>
        <w:pStyle w:val="31"/>
        <w:rPr>
          <w:rFonts w:hAnsi="宋体" w:cstheme="minorBidi"/>
          <w:kern w:val="2"/>
          <w:sz w:val="21"/>
          <w:szCs w:val="22"/>
        </w:rPr>
      </w:pPr>
      <w:r>
        <w:rPr>
          <w:rFonts w:hint="eastAsia" w:hAnsi="宋体" w:cstheme="minorBidi"/>
          <w:kern w:val="2"/>
          <w:sz w:val="21"/>
          <w:szCs w:val="22"/>
        </w:rPr>
        <w:t>（2）采用IEC规定的年最大风速反推</w:t>
      </w:r>
    </w:p>
    <w:p>
      <w:pPr>
        <w:pStyle w:val="31"/>
        <w:rPr>
          <w:rFonts w:hAnsi="宋体" w:cstheme="minorBidi"/>
          <w:kern w:val="2"/>
          <w:sz w:val="21"/>
          <w:szCs w:val="22"/>
        </w:rPr>
      </w:pPr>
      <w:r>
        <w:rPr>
          <w:rFonts w:hint="eastAsia" w:hAnsi="宋体" w:cstheme="minorBidi"/>
          <w:kern w:val="2"/>
          <w:sz w:val="21"/>
          <w:szCs w:val="22"/>
        </w:rPr>
        <w:t>根据IEC61400（2005）极端风速模型规定的重现期为1年的10min最大风速与50年一遇10min平均最大风速之间的相关关系。即：</w:t>
      </w:r>
    </w:p>
    <w:p>
      <w:pPr>
        <w:pStyle w:val="31"/>
        <w:jc w:val="right"/>
        <w:rPr>
          <w:rFonts w:hAnsi="宋体" w:cstheme="minorBidi"/>
          <w:kern w:val="2"/>
          <w:sz w:val="21"/>
          <w:szCs w:val="22"/>
        </w:rPr>
      </w:pPr>
      <w:r>
        <w:rPr>
          <w:rFonts w:hint="eastAsia" w:hAnsi="宋体" w:cstheme="minorBidi"/>
          <w:kern w:val="2"/>
          <w:sz w:val="21"/>
          <w:szCs w:val="22"/>
        </w:rPr>
        <w:t>V1（z）=0.8V50（z）</w:t>
      </w:r>
      <w:r>
        <w:rPr>
          <w:rFonts w:hint="eastAsia" w:hAnsi="宋体" w:cstheme="minorBidi"/>
          <w:kern w:val="2"/>
          <w:sz w:val="21"/>
          <w:szCs w:val="22"/>
        </w:rPr>
        <w:tab/>
      </w:r>
      <w:r>
        <w:rPr>
          <w:rFonts w:hint="eastAsia" w:hAnsi="宋体" w:cstheme="minorBidi"/>
          <w:kern w:val="2"/>
          <w:sz w:val="21"/>
          <w:szCs w:val="22"/>
        </w:rPr>
        <w:tab/>
      </w:r>
      <w:r>
        <w:rPr>
          <w:rFonts w:hint="eastAsia" w:hAnsi="宋体" w:cstheme="minorBidi"/>
          <w:kern w:val="2"/>
          <w:sz w:val="21"/>
          <w:szCs w:val="22"/>
        </w:rPr>
        <w:tab/>
      </w:r>
      <w:r>
        <w:rPr>
          <w:rFonts w:hint="eastAsia" w:hAnsi="宋体" w:cstheme="minorBidi"/>
          <w:kern w:val="2"/>
          <w:sz w:val="21"/>
          <w:szCs w:val="22"/>
        </w:rPr>
        <w:tab/>
      </w:r>
      <w:r>
        <w:rPr>
          <w:rFonts w:hint="eastAsia" w:hAnsi="宋体" w:cstheme="minorBidi"/>
          <w:kern w:val="2"/>
          <w:sz w:val="21"/>
          <w:szCs w:val="22"/>
        </w:rPr>
        <w:tab/>
      </w:r>
      <w:r>
        <w:rPr>
          <w:rFonts w:hint="eastAsia" w:hAnsi="宋体" w:cstheme="minorBidi"/>
          <w:kern w:val="2"/>
          <w:sz w:val="21"/>
          <w:szCs w:val="22"/>
        </w:rPr>
        <w:tab/>
      </w:r>
      <w:r>
        <w:rPr>
          <w:rFonts w:hint="eastAsia" w:hAnsi="宋体" w:cstheme="minorBidi"/>
          <w:kern w:val="2"/>
          <w:sz w:val="21"/>
          <w:szCs w:val="22"/>
        </w:rPr>
        <w:t>（2）</w:t>
      </w:r>
    </w:p>
    <w:p>
      <w:pPr>
        <w:pStyle w:val="31"/>
        <w:rPr>
          <w:rFonts w:hAnsi="宋体" w:cstheme="minorBidi"/>
          <w:kern w:val="2"/>
          <w:sz w:val="21"/>
          <w:szCs w:val="22"/>
        </w:rPr>
      </w:pPr>
      <w:r>
        <w:rPr>
          <w:rFonts w:hint="eastAsia" w:hAnsi="宋体" w:cstheme="minorBidi"/>
          <w:kern w:val="2"/>
          <w:sz w:val="21"/>
          <w:szCs w:val="22"/>
        </w:rPr>
        <w:t>其中，V</w:t>
      </w:r>
      <w:r>
        <w:rPr>
          <w:rFonts w:hint="eastAsia" w:hAnsi="宋体" w:cstheme="minorBidi"/>
          <w:kern w:val="2"/>
          <w:sz w:val="21"/>
          <w:szCs w:val="22"/>
          <w:vertAlign w:val="subscript"/>
        </w:rPr>
        <w:t>1</w:t>
      </w:r>
      <w:r>
        <w:rPr>
          <w:rFonts w:hint="eastAsia" w:hAnsi="宋体" w:cstheme="minorBidi"/>
          <w:kern w:val="2"/>
          <w:sz w:val="21"/>
          <w:szCs w:val="22"/>
        </w:rPr>
        <w:t>为重现期为一年的10min平均最大风速；</w:t>
      </w:r>
    </w:p>
    <w:p>
      <w:pPr>
        <w:pStyle w:val="31"/>
        <w:ind w:firstLine="1108" w:firstLineChars="528"/>
        <w:rPr>
          <w:rFonts w:hAnsi="宋体" w:cstheme="minorBidi"/>
          <w:kern w:val="2"/>
          <w:sz w:val="21"/>
          <w:szCs w:val="22"/>
        </w:rPr>
      </w:pPr>
      <w:r>
        <w:rPr>
          <w:rFonts w:hint="eastAsia" w:hAnsi="宋体" w:cstheme="minorBidi"/>
          <w:kern w:val="2"/>
          <w:sz w:val="21"/>
          <w:szCs w:val="22"/>
        </w:rPr>
        <w:t>V</w:t>
      </w:r>
      <w:r>
        <w:rPr>
          <w:rFonts w:hint="eastAsia" w:hAnsi="宋体" w:cstheme="minorBidi"/>
          <w:kern w:val="2"/>
          <w:sz w:val="21"/>
          <w:szCs w:val="22"/>
          <w:vertAlign w:val="subscript"/>
        </w:rPr>
        <w:t>50</w:t>
      </w:r>
      <w:r>
        <w:rPr>
          <w:rFonts w:hint="eastAsia" w:hAnsi="宋体" w:cstheme="minorBidi"/>
          <w:kern w:val="2"/>
          <w:sz w:val="21"/>
          <w:szCs w:val="22"/>
        </w:rPr>
        <w:t>为重现期为50年的10min平均最大风速；</w:t>
      </w:r>
    </w:p>
    <w:p>
      <w:pPr>
        <w:pStyle w:val="34"/>
        <w:numPr>
          <w:ilvl w:val="0"/>
          <w:numId w:val="0"/>
        </w:numPr>
        <w:spacing w:before="156" w:afterLines="0"/>
      </w:pPr>
      <w:r>
        <w:rPr>
          <w:rFonts w:hint="eastAsia"/>
        </w:rPr>
        <w:t>表2-15  采用IEC规定的年最大风速反推测风塔50年一遇最大风速统计表</w:t>
      </w:r>
    </w:p>
    <w:tbl>
      <w:tblPr>
        <w:tblStyle w:val="8"/>
        <w:tblW w:w="855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0"/>
        <w:gridCol w:w="1720"/>
        <w:gridCol w:w="1720"/>
        <w:gridCol w:w="1720"/>
        <w:gridCol w:w="167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55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采用IEC规定的年最大风速反推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测风塔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最大风速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(m/s)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极大风速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(m/s)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标准空气密度下最大风速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(m/s)</w:t>
            </w:r>
          </w:p>
        </w:tc>
        <w:tc>
          <w:tcPr>
            <w:tcW w:w="1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标准空气密度下极大风速</w:t>
            </w: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(m/s)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1498#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35.63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49.88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35.56</w:t>
            </w:r>
          </w:p>
        </w:tc>
        <w:tc>
          <w:tcPr>
            <w:tcW w:w="1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49.78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/>
                <w:sz w:val="18"/>
                <w:szCs w:val="18"/>
              </w:rPr>
              <w:t>1499#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36.25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50.75</w:t>
            </w:r>
          </w:p>
        </w:tc>
        <w:tc>
          <w:tcPr>
            <w:tcW w:w="1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36.18</w:t>
            </w:r>
          </w:p>
        </w:tc>
        <w:tc>
          <w:tcPr>
            <w:tcW w:w="1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color w:val="000000"/>
                <w:sz w:val="18"/>
                <w:szCs w:val="18"/>
              </w:rPr>
              <w:t>50.65</w:t>
            </w:r>
          </w:p>
        </w:tc>
      </w:tr>
    </w:tbl>
    <w:p>
      <w:pPr>
        <w:pStyle w:val="31"/>
        <w:rPr>
          <w:rFonts w:hAnsi="宋体" w:cstheme="minorBidi"/>
          <w:kern w:val="2"/>
          <w:sz w:val="21"/>
          <w:szCs w:val="22"/>
        </w:rPr>
      </w:pPr>
      <w:r>
        <w:rPr>
          <w:rFonts w:hint="eastAsia" w:hAnsi="宋体" w:cstheme="minorBidi"/>
          <w:kern w:val="2"/>
          <w:sz w:val="21"/>
          <w:szCs w:val="22"/>
        </w:rPr>
        <w:t>（3）小结</w:t>
      </w:r>
    </w:p>
    <w:p>
      <w:pPr>
        <w:pStyle w:val="31"/>
        <w:rPr>
          <w:rFonts w:hAnsi="宋体" w:cstheme="minorBidi"/>
          <w:kern w:val="2"/>
          <w:sz w:val="21"/>
          <w:szCs w:val="22"/>
        </w:rPr>
      </w:pPr>
      <w:r>
        <w:rPr>
          <w:rFonts w:hint="eastAsia" w:hAnsi="宋体" w:cstheme="minorBidi"/>
          <w:kern w:val="2"/>
          <w:sz w:val="21"/>
          <w:szCs w:val="22"/>
        </w:rPr>
        <w:t>为安全起见，选取以上结果中算出的最大风速，得出本风电场100m高度50年一遇最大风速为36.18m/s（标准空气密度），50年一遇3s平均极大风速为50.65m/s（标准空气密度）。综合考虑各测风塔平均风速、极端风速的评估结果，适合选用安全等级为 IEC III类及以上的风电机组。</w:t>
      </w:r>
    </w:p>
    <w:p>
      <w:pPr>
        <w:pStyle w:val="32"/>
        <w:numPr>
          <w:ilvl w:val="2"/>
          <w:numId w:val="1"/>
        </w:numPr>
        <w:spacing w:before="312" w:beforeLines="100" w:after="0" w:afterLines="0"/>
        <w:rPr>
          <w:rFonts w:ascii="Arial" w:hAnsi="宋体" w:eastAsiaTheme="minorEastAsia" w:cstheme="minorBidi"/>
          <w:kern w:val="2"/>
          <w:sz w:val="21"/>
          <w:szCs w:val="22"/>
        </w:rPr>
      </w:pPr>
      <w:bookmarkStart w:id="22" w:name="_Toc51266147"/>
      <w:bookmarkStart w:id="23" w:name="_Toc404764723"/>
      <w:r>
        <w:rPr>
          <w:rFonts w:hint="eastAsia" w:ascii="Arial" w:hAnsi="宋体" w:eastAsiaTheme="minorEastAsia" w:cstheme="minorBidi"/>
          <w:kern w:val="2"/>
          <w:sz w:val="21"/>
          <w:szCs w:val="22"/>
        </w:rPr>
        <w:t>温度</w:t>
      </w:r>
      <w:bookmarkEnd w:id="22"/>
      <w:bookmarkEnd w:id="23"/>
    </w:p>
    <w:p>
      <w:pPr>
        <w:pStyle w:val="31"/>
        <w:rPr>
          <w:rFonts w:hAnsi="宋体" w:cstheme="minorBidi"/>
          <w:kern w:val="2"/>
          <w:sz w:val="21"/>
          <w:szCs w:val="22"/>
        </w:rPr>
      </w:pPr>
      <w:r>
        <w:rPr>
          <w:rFonts w:hint="eastAsia" w:hAnsi="宋体" w:cstheme="minorBidi"/>
          <w:kern w:val="2"/>
          <w:sz w:val="21"/>
          <w:szCs w:val="22"/>
        </w:rPr>
        <w:t>根据测风塔实测数据，测期内场址的极端最低温度为-28.1℃，发生于2016.01.23 06:00 时，推荐采用低温型机组。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01CE3"/>
    <w:multiLevelType w:val="multilevel"/>
    <w:tmpl w:val="15201CE3"/>
    <w:lvl w:ilvl="0" w:tentative="0">
      <w:start w:val="1"/>
      <w:numFmt w:val="decimal"/>
      <w:suff w:val="nothing"/>
      <w:lvlText w:val="%1　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1.%2　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943C9D"/>
    <w:multiLevelType w:val="multilevel"/>
    <w:tmpl w:val="59943C9D"/>
    <w:lvl w:ilvl="0" w:tentative="0">
      <w:start w:val="1"/>
      <w:numFmt w:val="decimal"/>
      <w:pStyle w:val="34"/>
      <w:lvlText w:val="表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8C7605"/>
    <w:multiLevelType w:val="singleLevel"/>
    <w:tmpl w:val="7D8C7605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  <w:lvlOverride w:ilvl="0">
      <w:lvl w:ilvl="0" w:tentative="1">
        <w:start w:val="1"/>
        <w:numFmt w:val="decimal"/>
        <w:suff w:val="nothing"/>
        <w:lvlText w:val="%1　"/>
        <w:lvlJc w:val="left"/>
        <w:pPr>
          <w:ind w:left="0" w:firstLine="0"/>
        </w:pPr>
        <w:rPr>
          <w:rFonts w:hint="eastAsia"/>
        </w:rPr>
      </w:lvl>
    </w:lvlOverride>
    <w:lvlOverride w:ilvl="1">
      <w:lvl w:ilvl="1" w:tentative="1">
        <w:start w:val="1"/>
        <w:numFmt w:val="decimal"/>
        <w:pStyle w:val="32"/>
        <w:suff w:val="nothing"/>
        <w:lvlText w:val="%1.%2　"/>
        <w:lvlJc w:val="left"/>
        <w:pPr>
          <w:ind w:left="284" w:firstLine="0"/>
        </w:pPr>
        <w:rPr>
          <w:rFonts w:hint="eastAsia"/>
        </w:rPr>
      </w:lvl>
    </w:lvlOverride>
    <w:lvlOverride w:ilvl="2">
      <w:lvl w:ilvl="2" w:tentative="1">
        <w:start w:val="1"/>
        <w:numFmt w:val="decimal"/>
        <w:suff w:val="nothing"/>
        <w:lvlText w:val="%1.%2.%3　"/>
        <w:lvlJc w:val="left"/>
        <w:pPr>
          <w:ind w:left="0" w:firstLine="0"/>
        </w:pPr>
        <w:rPr>
          <w:rFonts w:hint="eastAsia"/>
        </w:rPr>
      </w:lvl>
    </w:lvlOverride>
    <w:lvlOverride w:ilvl="3">
      <w:lvl w:ilvl="3" w:tentative="1">
        <w:start w:val="1"/>
        <w:numFmt w:val="decimal"/>
        <w:suff w:val="nothing"/>
        <w:lvlText w:val="%1.%2.%3.%4　"/>
        <w:lvlJc w:val="left"/>
        <w:pPr>
          <w:ind w:left="0" w:firstLine="0"/>
        </w:pPr>
        <w:rPr>
          <w:rFonts w:hint="eastAsia"/>
        </w:rPr>
      </w:lvl>
    </w:lvlOverride>
    <w:lvlOverride w:ilvl="4">
      <w:lvl w:ilvl="4" w:tentative="1">
        <w:start w:val="1"/>
        <w:numFmt w:val="decimal"/>
        <w:suff w:val="nothing"/>
        <w:lvlText w:val="%1.%2.%3.%4.%5　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suff w:val="nothing"/>
        <w:lvlText w:val="%1.%2.%3.%4.%5.%6　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A71"/>
    <w:rsid w:val="00065B6D"/>
    <w:rsid w:val="001F4273"/>
    <w:rsid w:val="004B3B02"/>
    <w:rsid w:val="005000FE"/>
    <w:rsid w:val="0053699A"/>
    <w:rsid w:val="005E31EA"/>
    <w:rsid w:val="0069343E"/>
    <w:rsid w:val="00711CC4"/>
    <w:rsid w:val="008A6CE5"/>
    <w:rsid w:val="00922A71"/>
    <w:rsid w:val="00930477"/>
    <w:rsid w:val="00A55194"/>
    <w:rsid w:val="00A56F82"/>
    <w:rsid w:val="00AD215B"/>
    <w:rsid w:val="00D50B20"/>
    <w:rsid w:val="00FD4AD0"/>
    <w:rsid w:val="139A1ABD"/>
    <w:rsid w:val="27814296"/>
    <w:rsid w:val="479D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4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11">
    <w:name w:val="hr_章标题"/>
    <w:basedOn w:val="1"/>
    <w:link w:val="12"/>
    <w:qFormat/>
    <w:uiPriority w:val="0"/>
    <w:pPr>
      <w:keepNext/>
      <w:keepLines/>
      <w:widowControl/>
      <w:spacing w:before="326" w:beforeLines="100" w:after="326" w:afterLines="100"/>
      <w:jc w:val="center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2">
    <w:name w:val="hr_章标题 字符"/>
    <w:basedOn w:val="10"/>
    <w:link w:val="11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3">
    <w:name w:val="hr_表说明"/>
    <w:basedOn w:val="3"/>
    <w:link w:val="14"/>
    <w:qFormat/>
    <w:uiPriority w:val="0"/>
    <w:pPr>
      <w:jc w:val="left"/>
    </w:pPr>
    <w:rPr>
      <w:rFonts w:ascii="Times New Roman" w:hAnsi="Times New Roman"/>
      <w:b/>
      <w:sz w:val="21"/>
    </w:rPr>
  </w:style>
  <w:style w:type="character" w:customStyle="1" w:styleId="14">
    <w:name w:val="hr_表说明 字符"/>
    <w:basedOn w:val="10"/>
    <w:link w:val="13"/>
    <w:qFormat/>
    <w:uiPriority w:val="0"/>
    <w:rPr>
      <w:rFonts w:ascii="Times New Roman" w:hAnsi="Times New Roman" w:eastAsia="黑体" w:cstheme="majorBidi"/>
      <w:b/>
      <w:szCs w:val="20"/>
    </w:rPr>
  </w:style>
  <w:style w:type="paragraph" w:customStyle="1" w:styleId="15">
    <w:name w:val="hr_表头"/>
    <w:basedOn w:val="1"/>
    <w:link w:val="16"/>
    <w:qFormat/>
    <w:uiPriority w:val="0"/>
    <w:pPr>
      <w:widowControl/>
      <w:spacing w:before="163" w:beforeLines="50" w:after="163"/>
      <w:contextualSpacing/>
      <w:jc w:val="center"/>
    </w:pPr>
    <w:rPr>
      <w:rFonts w:ascii="Times New Roman" w:hAnsi="Times New Roman" w:eastAsia="宋体"/>
      <w:b/>
      <w:szCs w:val="21"/>
    </w:rPr>
  </w:style>
  <w:style w:type="character" w:customStyle="1" w:styleId="16">
    <w:name w:val="hr_表头 字符"/>
    <w:basedOn w:val="10"/>
    <w:link w:val="15"/>
    <w:qFormat/>
    <w:uiPriority w:val="0"/>
    <w:rPr>
      <w:rFonts w:ascii="Times New Roman" w:hAnsi="Times New Roman" w:eastAsia="宋体"/>
      <w:b/>
      <w:szCs w:val="21"/>
    </w:rPr>
  </w:style>
  <w:style w:type="paragraph" w:customStyle="1" w:styleId="17">
    <w:name w:val="hr_节标题二级"/>
    <w:basedOn w:val="7"/>
    <w:link w:val="18"/>
    <w:qFormat/>
    <w:uiPriority w:val="0"/>
    <w:pPr>
      <w:spacing w:before="489" w:beforeLines="150" w:after="163" w:afterLines="50"/>
      <w:jc w:val="left"/>
      <w:outlineLvl w:val="2"/>
    </w:pPr>
    <w:rPr>
      <w:rFonts w:ascii="Times New Roman" w:hAnsi="Times New Roman" w:eastAsia="宋体"/>
      <w:sz w:val="24"/>
    </w:rPr>
  </w:style>
  <w:style w:type="character" w:customStyle="1" w:styleId="18">
    <w:name w:val="hr_节标题二级 字符"/>
    <w:basedOn w:val="10"/>
    <w:link w:val="17"/>
    <w:qFormat/>
    <w:uiPriority w:val="0"/>
    <w:rPr>
      <w:rFonts w:ascii="Times New Roman" w:hAnsi="Times New Roman" w:eastAsia="宋体" w:cstheme="majorBidi"/>
      <w:b/>
      <w:bCs/>
      <w:sz w:val="24"/>
      <w:szCs w:val="32"/>
    </w:rPr>
  </w:style>
  <w:style w:type="character" w:customStyle="1" w:styleId="19">
    <w:name w:val="标题 字符"/>
    <w:basedOn w:val="10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hr_节标题一级"/>
    <w:basedOn w:val="2"/>
    <w:link w:val="21"/>
    <w:qFormat/>
    <w:uiPriority w:val="0"/>
    <w:pPr>
      <w:spacing w:before="163" w:beforeLines="50" w:after="0" w:line="240" w:lineRule="auto"/>
      <w:jc w:val="left"/>
    </w:pPr>
    <w:rPr>
      <w:rFonts w:ascii="Times New Roman" w:hAnsi="Times New Roman"/>
      <w:sz w:val="28"/>
    </w:rPr>
  </w:style>
  <w:style w:type="character" w:customStyle="1" w:styleId="21">
    <w:name w:val="hr_节标题一级 字符"/>
    <w:basedOn w:val="10"/>
    <w:link w:val="20"/>
    <w:uiPriority w:val="0"/>
    <w:rPr>
      <w:rFonts w:ascii="Times New Roman" w:hAnsi="Times New Roman" w:eastAsiaTheme="majorEastAsia" w:cstheme="majorBidi"/>
      <w:b/>
      <w:bCs/>
      <w:sz w:val="28"/>
      <w:szCs w:val="32"/>
    </w:rPr>
  </w:style>
  <w:style w:type="character" w:customStyle="1" w:styleId="22">
    <w:name w:val="标题 2 字符"/>
    <w:basedOn w:val="10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3">
    <w:name w:val="hr_图标题"/>
    <w:basedOn w:val="3"/>
    <w:link w:val="24"/>
    <w:qFormat/>
    <w:uiPriority w:val="0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24">
    <w:name w:val="hr_图标题 字符"/>
    <w:basedOn w:val="10"/>
    <w:link w:val="23"/>
    <w:qFormat/>
    <w:uiPriority w:val="0"/>
    <w:rPr>
      <w:rFonts w:ascii="Times New Roman" w:hAnsi="Times New Roman" w:eastAsia="黑体" w:cstheme="majorBidi"/>
      <w:b/>
      <w:szCs w:val="20"/>
    </w:rPr>
  </w:style>
  <w:style w:type="paragraph" w:customStyle="1" w:styleId="25">
    <w:name w:val="hr_正文"/>
    <w:basedOn w:val="1"/>
    <w:link w:val="26"/>
    <w:qFormat/>
    <w:uiPriority w:val="0"/>
    <w:pPr>
      <w:spacing w:line="520" w:lineRule="atLeast"/>
      <w:ind w:firstLine="480" w:firstLineChars="200"/>
    </w:pPr>
    <w:rPr>
      <w:rFonts w:ascii="Times New Roman" w:hAnsi="Times New Roman" w:eastAsia="宋体"/>
      <w:sz w:val="24"/>
    </w:rPr>
  </w:style>
  <w:style w:type="character" w:customStyle="1" w:styleId="26">
    <w:name w:val="hr_正文 字符"/>
    <w:basedOn w:val="10"/>
    <w:link w:val="25"/>
    <w:qFormat/>
    <w:uiPriority w:val="0"/>
    <w:rPr>
      <w:rFonts w:ascii="Times New Roman" w:hAnsi="Times New Roman" w:eastAsia="宋体"/>
      <w:sz w:val="24"/>
    </w:rPr>
  </w:style>
  <w:style w:type="character" w:customStyle="1" w:styleId="27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28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29">
    <w:name w:val="批注框文本 字符"/>
    <w:basedOn w:val="10"/>
    <w:link w:val="4"/>
    <w:semiHidden/>
    <w:qFormat/>
    <w:uiPriority w:val="99"/>
    <w:rPr>
      <w:sz w:val="18"/>
      <w:szCs w:val="18"/>
    </w:rPr>
  </w:style>
  <w:style w:type="character" w:customStyle="1" w:styleId="30">
    <w:name w:val="01main text Char"/>
    <w:link w:val="31"/>
    <w:qFormat/>
    <w:uiPriority w:val="0"/>
    <w:rPr>
      <w:rFonts w:ascii="Times New Roman" w:hAnsi="Times New Roman" w:eastAsia="宋体" w:cs="宋体"/>
      <w:sz w:val="24"/>
    </w:rPr>
  </w:style>
  <w:style w:type="paragraph" w:customStyle="1" w:styleId="31">
    <w:name w:val="01main text"/>
    <w:basedOn w:val="1"/>
    <w:link w:val="30"/>
    <w:qFormat/>
    <w:uiPriority w:val="0"/>
    <w:pPr>
      <w:spacing w:line="520" w:lineRule="atLeast"/>
      <w:ind w:firstLine="482"/>
    </w:pPr>
    <w:rPr>
      <w:rFonts w:ascii="Times New Roman" w:hAnsi="Times New Roman" w:eastAsia="宋体" w:cs="宋体"/>
      <w:sz w:val="24"/>
    </w:rPr>
  </w:style>
  <w:style w:type="paragraph" w:customStyle="1" w:styleId="32">
    <w:name w:val="1级条标题-文字内容设计文件"/>
    <w:basedOn w:val="33"/>
    <w:qFormat/>
    <w:uiPriority w:val="0"/>
    <w:pPr>
      <w:numPr>
        <w:ilvl w:val="1"/>
        <w:numId w:val="1"/>
      </w:numPr>
      <w:spacing w:before="156" w:after="156"/>
      <w:ind w:left="0"/>
      <w:jc w:val="left"/>
    </w:pPr>
    <w:rPr>
      <w:rFonts w:hAnsi="Times New Roman" w:cs="Times New Roman"/>
      <w:kern w:val="0"/>
      <w:szCs w:val="21"/>
    </w:rPr>
  </w:style>
  <w:style w:type="paragraph" w:customStyle="1" w:styleId="33">
    <w:name w:val="一级条标题"/>
    <w:next w:val="1"/>
    <w:qFormat/>
    <w:uiPriority w:val="0"/>
    <w:pPr>
      <w:spacing w:beforeLines="50" w:afterLines="50"/>
      <w:jc w:val="both"/>
      <w:outlineLvl w:val="2"/>
    </w:pPr>
    <w:rPr>
      <w:rFonts w:ascii="黑体" w:eastAsia="黑体" w:hAnsiTheme="minorHAnsi" w:cstheme="minorBidi"/>
      <w:kern w:val="2"/>
      <w:sz w:val="24"/>
      <w:szCs w:val="22"/>
      <w:lang w:val="en-US" w:eastAsia="zh-CN" w:bidi="ar-SA"/>
    </w:rPr>
  </w:style>
  <w:style w:type="paragraph" w:customStyle="1" w:styleId="34">
    <w:name w:val="正文表标题"/>
    <w:next w:val="35"/>
    <w:qFormat/>
    <w:uiPriority w:val="0"/>
    <w:pPr>
      <w:numPr>
        <w:ilvl w:val="0"/>
        <w:numId w:val="2"/>
      </w:numPr>
      <w:spacing w:beforeLines="50" w:afterLines="50"/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35">
    <w:name w:val="段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wmf"/><Relationship Id="rId24" Type="http://schemas.openxmlformats.org/officeDocument/2006/relationships/image" Target="media/image21.wmf"/><Relationship Id="rId23" Type="http://schemas.openxmlformats.org/officeDocument/2006/relationships/image" Target="media/image20.wmf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5</Pages>
  <Words>224</Words>
  <Characters>1279</Characters>
  <Lines>10</Lines>
  <Paragraphs>2</Paragraphs>
  <TotalTime>6</TotalTime>
  <ScaleCrop>false</ScaleCrop>
  <LinksUpToDate>false</LinksUpToDate>
  <CharactersWithSpaces>1501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2019-12-05T02:02:00Z</dcterms:created>
  <dc:creator>Zhang Yicheng</dc:creator>
  <cp:lastModifiedBy>张亦澄</cp:lastModifiedBy>
  <dcterms:modified xsi:type="dcterms:W3CDTF">2021-08-12T09:24:40Z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