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before="312" w:beforeLines="100"/>
        <w:outlineLvl w:val="1"/>
      </w:pPr>
      <w:bookmarkStart w:id="0" w:name="_Toc24304530"/>
      <w:bookmarkStart w:id="1" w:name="_Toc51266138"/>
      <w:r>
        <w:rPr>
          <w:rFonts w:hint="eastAsia"/>
        </w:rPr>
        <w:t>风电场实测测风参数分析</w:t>
      </w:r>
      <w:bookmarkEnd w:id="0"/>
      <w:bookmarkEnd w:id="1"/>
    </w:p>
    <w:p>
      <w:pPr>
        <w:pStyle w:val="33"/>
        <w:numPr>
          <w:ilvl w:val="2"/>
          <w:numId w:val="1"/>
        </w:numPr>
        <w:spacing w:before="312" w:beforeLines="10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2" w:name="_Toc51266139"/>
      <w:r>
        <w:rPr>
          <w:rFonts w:hint="eastAsia" w:ascii="Arial" w:hAnsi="宋体" w:eastAsiaTheme="minorEastAsia" w:cstheme="minorBidi"/>
          <w:kern w:val="2"/>
          <w:sz w:val="21"/>
          <w:szCs w:val="22"/>
        </w:rPr>
        <w:t>空气密度</w:t>
      </w:r>
      <w:bookmarkEnd w:id="2"/>
    </w:p>
    <w:p>
      <w:pPr>
        <w:spacing w:line="360" w:lineRule="auto"/>
        <w:ind w:firstLine="480"/>
        <w:rPr>
          <w:rFonts w:hAnsi="宋体"/>
        </w:rPr>
      </w:pPr>
      <w:r>
        <w:rPr>
          <w:rFonts w:hint="eastAsia" w:hAnsi="宋体"/>
        </w:rPr>
        <w:t>空气密度直接影响风能的大小，在同等风速条件下，空气密度越大、风能越大。</w:t>
      </w:r>
    </w:p>
    <w:p>
      <w:pPr>
        <w:spacing w:line="360" w:lineRule="auto"/>
        <w:ind w:firstLine="480"/>
      </w:pPr>
      <w:r>
        <w:t xml:space="preserve">{%p for a in </w:t>
      </w:r>
      <w:r>
        <w:rPr>
          <w:rFonts w:hint="eastAsia"/>
        </w:rPr>
        <w:t>各测风塔完整率描述</w:t>
      </w:r>
      <w:r>
        <w:t xml:space="preserve"> %}</w:t>
      </w:r>
    </w:p>
    <w:p>
      <w:pPr>
        <w:spacing w:line="360" w:lineRule="auto"/>
        <w:ind w:firstLine="480"/>
      </w:pPr>
      <w:r>
        <w:t>{{ a }}</w:t>
      </w:r>
    </w:p>
    <w:p>
      <w:pPr>
        <w:spacing w:line="360" w:lineRule="auto"/>
        <w:ind w:firstLine="480"/>
      </w:pPr>
      <w:r>
        <w:t>{%p endfor %}</w:t>
      </w:r>
    </w:p>
    <w:p>
      <w:pPr>
        <w:spacing w:line="360" w:lineRule="auto"/>
        <w:ind w:firstLine="480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t>1498#测风塔均有气温、气压的记录，但由于2015/07/27 8:00-2015/11/08 10:50时段内温度及气压通道损坏，完整率72.09%，无法准确评估空气密度，不作为参数输入用以计算风电场空气密度。</w:t>
      </w:r>
    </w:p>
    <w:p>
      <w:pPr>
        <w:spacing w:line="360" w:lineRule="auto"/>
        <w:ind w:firstLine="480"/>
        <w:rPr>
          <w:rFonts w:hAnsi="宋体"/>
        </w:rPr>
      </w:pPr>
      <w:r>
        <w:rPr>
          <w:rFonts w:hint="eastAsia" w:hAnsi="宋体"/>
          <w:highlight w:val="green"/>
        </w:rPr>
        <w:t>1499#测风塔有气温记录，无气压记录，完整率98.91%，压力参数采用海平面大气压向上外推得到年均气压值，故采用数据有效完整率较好的1499#测风塔进行空气密度的分析。</w:t>
      </w:r>
    </w:p>
    <w:p>
      <w:pPr>
        <w:spacing w:line="360" w:lineRule="auto"/>
        <w:ind w:firstLine="480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t>通过公式（1）计算得到测风塔气温、气压仪器设置高度空气密度。</w:t>
      </w:r>
    </w:p>
    <w:p>
      <w:pPr>
        <w:pStyle w:val="32"/>
        <w:jc w:val="right"/>
        <w:rPr>
          <w:rFonts w:hAnsi="宋体" w:cstheme="minorBidi"/>
          <w:sz w:val="21"/>
          <w:highlight w:val="green"/>
        </w:rPr>
      </w:pPr>
      <w:r>
        <w:rPr>
          <w:position w:val="-10"/>
          <w:highlight w:val="green"/>
        </w:rPr>
        <w:drawing>
          <wp:inline distT="0" distB="0" distL="0" distR="0">
            <wp:extent cx="693420" cy="198120"/>
            <wp:effectExtent l="0" t="0" r="0" b="12065"/>
            <wp:docPr id="1036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9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198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 w:hAnsi="宋体" w:cstheme="minorBidi"/>
          <w:sz w:val="21"/>
          <w:highlight w:val="green"/>
        </w:rPr>
        <w:t xml:space="preserve"> （1）</w:t>
      </w:r>
    </w:p>
    <w:p>
      <w:pPr>
        <w:spacing w:line="360" w:lineRule="auto"/>
        <w:ind w:firstLine="482"/>
        <w:textAlignment w:val="center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t>式中：</w:t>
      </w:r>
      <w:r>
        <w:rPr>
          <w:rFonts w:hint="eastAsia" w:hAnsi="宋体"/>
          <w:highlight w:val="green"/>
        </w:rPr>
        <w:drawing>
          <wp:inline distT="0" distB="0" distL="0" distR="0">
            <wp:extent cx="152400" cy="160020"/>
            <wp:effectExtent l="0" t="0" r="0" b="12700"/>
            <wp:docPr id="1037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——空气密度，kg/m3；</w:t>
      </w:r>
    </w:p>
    <w:p>
      <w:pPr>
        <w:spacing w:line="360" w:lineRule="auto"/>
        <w:ind w:firstLine="482"/>
        <w:textAlignment w:val="center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drawing>
          <wp:inline distT="0" distB="0" distL="0" distR="0">
            <wp:extent cx="152400" cy="160020"/>
            <wp:effectExtent l="0" t="0" r="0" b="13335"/>
            <wp:docPr id="1038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20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——年平均大气压力（Pa）；</w:t>
      </w:r>
    </w:p>
    <w:p>
      <w:pPr>
        <w:spacing w:line="360" w:lineRule="auto"/>
        <w:ind w:firstLine="482"/>
        <w:textAlignment w:val="center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drawing>
          <wp:inline distT="0" distB="0" distL="0" distR="0">
            <wp:extent cx="144780" cy="160020"/>
            <wp:effectExtent l="0" t="0" r="7620" b="13335"/>
            <wp:docPr id="1039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2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——年平均空气开氏温标绝对温度（℃+273）。</w:t>
      </w:r>
    </w:p>
    <w:p>
      <w:pPr>
        <w:pStyle w:val="32"/>
        <w:rPr>
          <w:rFonts w:hAnsi="宋体" w:cstheme="minorBidi"/>
          <w:sz w:val="21"/>
          <w:highlight w:val="green"/>
        </w:rPr>
      </w:pPr>
      <w:r>
        <w:rPr>
          <w:rFonts w:hint="eastAsia" w:hAnsi="宋体" w:cstheme="minorBidi"/>
          <w:sz w:val="21"/>
          <w:highlight w:val="green"/>
        </w:rPr>
        <w:t>空气密度随着高度的升高而减小，空气密度随着高度修正利用以下公式（2）。</w:t>
      </w:r>
    </w:p>
    <w:p>
      <w:pPr>
        <w:pStyle w:val="32"/>
        <w:jc w:val="right"/>
        <w:rPr>
          <w:rFonts w:hAnsi="宋体" w:cstheme="minorBidi"/>
          <w:sz w:val="21"/>
        </w:rPr>
      </w:pPr>
      <w:r>
        <w:rPr>
          <w:position w:val="-12"/>
          <w:highlight w:val="green"/>
        </w:rPr>
        <w:drawing>
          <wp:inline distT="0" distB="0" distL="0" distR="0">
            <wp:extent cx="1059180" cy="236220"/>
            <wp:effectExtent l="0" t="0" r="7620" b="12700"/>
            <wp:docPr id="1040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25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36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green"/>
        </w:rPr>
        <w:t xml:space="preserve">     </w:t>
      </w:r>
      <w:r>
        <w:rPr>
          <w:rFonts w:hint="eastAsia" w:hAnsi="宋体" w:cstheme="minorBidi"/>
          <w:sz w:val="21"/>
          <w:highlight w:val="green"/>
        </w:rPr>
        <w:t xml:space="preserve">                        （2）</w:t>
      </w:r>
    </w:p>
    <w:p>
      <w:pPr>
        <w:spacing w:line="360" w:lineRule="auto"/>
        <w:ind w:firstLine="482"/>
        <w:textAlignment w:val="center"/>
        <w:rPr>
          <w:rFonts w:hAnsi="宋体"/>
        </w:rPr>
      </w:pPr>
      <w:r>
        <w:rPr>
          <w:rFonts w:hint="eastAsia" w:hAnsi="宋体"/>
          <w:highlight w:val="green"/>
        </w:rPr>
        <w:t>式中：</w:t>
      </w:r>
      <w:r>
        <w:rPr>
          <w:rFonts w:hint="eastAsia" w:hAnsi="宋体"/>
          <w:highlight w:val="green"/>
        </w:rPr>
        <w:drawing>
          <wp:inline distT="0" distB="0" distL="0" distR="0">
            <wp:extent cx="182880" cy="228600"/>
            <wp:effectExtent l="0" t="0" r="7620" b="0"/>
            <wp:docPr id="1041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3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为测风仪器安装处（海拔高度为z）的空气密度，</w:t>
      </w:r>
      <w:r>
        <w:rPr>
          <w:rFonts w:hint="eastAsia" w:hAnsi="宋体"/>
          <w:highlight w:val="green"/>
        </w:rPr>
        <w:drawing>
          <wp:inline distT="0" distB="0" distL="0" distR="0">
            <wp:extent cx="182880" cy="228600"/>
            <wp:effectExtent l="0" t="0" r="7620" b="0"/>
            <wp:docPr id="1042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47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为温度、气压传感器安装高度处（海拔高度为h）的空气密度。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表2-2 各测风塔各测层空气密度（kg/m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）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483"/>
        <w:gridCol w:w="199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2" w:type="pct"/>
          <w:trHeight w:val="288" w:hRule="atLeast"/>
          <w:jc w:val="center"/>
        </w:trPr>
        <w:tc>
          <w:tcPr>
            <w:tcW w:w="119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 {%tc for col in tower_density_labels %}</w:t>
            </w:r>
          </w:p>
        </w:tc>
        <w:tc>
          <w:tcPr>
            <w:tcW w:w="14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>{{ col }}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 {%tc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gridSpan w:val="4"/>
            <w:shd w:val="clear" w:color="auto" w:fill="auto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{%tr for item in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风数据总结</w:t>
            </w: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>_table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9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>{{ item.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编号</w:t>
            </w: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 }}</w:t>
            </w:r>
          </w:p>
        </w:tc>
        <w:tc>
          <w:tcPr>
            <w:tcW w:w="14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>{{ item.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海拔</w:t>
            </w: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 }}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>{{ item.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装置处的空气密度</w:t>
            </w: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 }}</w:t>
            </w:r>
          </w:p>
        </w:tc>
        <w:tc>
          <w:tcPr>
            <w:tcW w:w="11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>{{ item.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轮毂高度处的空气密度</w:t>
            </w: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gridSpan w:val="4"/>
            <w:shd w:val="clear" w:color="auto" w:fill="auto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>{%tr endfor %}</w:t>
            </w:r>
          </w:p>
        </w:tc>
      </w:tr>
    </w:tbl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表2-2 各测风塔各测层空气密度（kg/m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）</w:t>
      </w:r>
    </w:p>
    <w:tbl>
      <w:tblPr>
        <w:tblStyle w:val="8"/>
        <w:tblW w:w="67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971"/>
        <w:gridCol w:w="1591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测风塔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高程（m）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10m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1499#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1.229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1.218</w:t>
            </w:r>
          </w:p>
        </w:tc>
      </w:tr>
    </w:tbl>
    <w:p>
      <w:pPr>
        <w:spacing w:line="360" w:lineRule="auto"/>
        <w:ind w:firstLine="480"/>
      </w:pPr>
      <w:r>
        <w:t xml:space="preserve">{%p for a in </w:t>
      </w:r>
      <w:r>
        <w:rPr>
          <w:rFonts w:hint="eastAsia"/>
        </w:rPr>
        <w:t>各测风塔空气密度描述</w:t>
      </w:r>
      <w:r>
        <w:t xml:space="preserve"> %}</w:t>
      </w:r>
    </w:p>
    <w:p>
      <w:pPr>
        <w:spacing w:line="360" w:lineRule="auto"/>
        <w:ind w:firstLine="480"/>
      </w:pPr>
      <w:r>
        <w:t>{{ a }}</w:t>
      </w:r>
    </w:p>
    <w:p>
      <w:pPr>
        <w:spacing w:line="360" w:lineRule="auto"/>
        <w:ind w:firstLine="480"/>
      </w:pPr>
      <w:r>
        <w:t>{%p endfor %}</w:t>
      </w:r>
    </w:p>
    <w:p>
      <w:pPr>
        <w:spacing w:before="156" w:beforeLines="50" w:line="360" w:lineRule="auto"/>
        <w:ind w:firstLine="482"/>
        <w:rPr>
          <w:rFonts w:hAnsi="宋体"/>
        </w:rPr>
      </w:pPr>
      <w:r>
        <w:rPr>
          <w:rFonts w:hint="eastAsia" w:hAnsi="宋体"/>
          <w:highlight w:val="green"/>
        </w:rPr>
        <w:t>本阶段收集到参考周期内1499#测风塔气温数据。根据1499#测风塔数据，年平均气温6.77℃，依据海平面外推1499#高程217m处年平均气压98.72kPa，测风塔高度处空气密度为1.229kg/m3；风电场轮毂高度100m处空气密度为1.218kg/m3。</w:t>
      </w:r>
      <w:r>
        <w:rPr>
          <w:rFonts w:hint="eastAsia" w:hAnsi="宋体"/>
        </w:rPr>
        <w:t xml:space="preserve"> </w:t>
      </w:r>
    </w:p>
    <w:p>
      <w:pPr>
        <w:pStyle w:val="33"/>
        <w:numPr>
          <w:ilvl w:val="2"/>
          <w:numId w:val="1"/>
        </w:numPr>
        <w:spacing w:before="312" w:beforeLines="10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3" w:name="_Toc51266140"/>
      <w:r>
        <w:rPr>
          <w:rFonts w:hint="eastAsia" w:ascii="Arial" w:hAnsi="宋体" w:eastAsiaTheme="minorEastAsia" w:cstheme="minorBidi"/>
          <w:kern w:val="2"/>
          <w:sz w:val="21"/>
          <w:szCs w:val="22"/>
        </w:rPr>
        <w:t>平均风速及风功率密度</w:t>
      </w:r>
      <w:bookmarkEnd w:id="3"/>
    </w:p>
    <w:p>
      <w:pPr>
        <w:spacing w:line="360" w:lineRule="auto"/>
        <w:ind w:firstLine="480"/>
        <w:rPr>
          <w:rFonts w:hAnsi="宋体"/>
        </w:rPr>
      </w:pPr>
      <w:bookmarkStart w:id="4" w:name="_Toc368313143"/>
    </w:p>
    <w:p>
      <w:pPr>
        <w:spacing w:line="360" w:lineRule="auto"/>
        <w:ind w:firstLine="480"/>
      </w:pPr>
      <w:r>
        <w:t xml:space="preserve">{%p for a in </w:t>
      </w:r>
      <w:r>
        <w:rPr>
          <w:rFonts w:hint="eastAsia"/>
        </w:rPr>
        <w:t>各测风塔平均风速及风功率密度描述</w:t>
      </w:r>
      <w:r>
        <w:t xml:space="preserve"> %}</w:t>
      </w:r>
    </w:p>
    <w:p>
      <w:pPr>
        <w:spacing w:line="360" w:lineRule="auto"/>
        <w:ind w:firstLine="480"/>
      </w:pPr>
      <w:r>
        <w:t>{{ a }}</w:t>
      </w:r>
    </w:p>
    <w:p>
      <w:pPr>
        <w:spacing w:line="360" w:lineRule="auto"/>
        <w:ind w:firstLine="480"/>
      </w:pPr>
      <w:r>
        <w:t>{%p endfor %}</w:t>
      </w:r>
    </w:p>
    <w:p>
      <w:pPr>
        <w:spacing w:before="156" w:beforeLines="50" w:line="360" w:lineRule="auto"/>
        <w:ind w:firstLine="482"/>
        <w:rPr>
          <w:rFonts w:hint="eastAsia" w:hAnsi="宋体"/>
          <w:highlight w:val="green"/>
        </w:rPr>
      </w:pPr>
      <w:r>
        <w:rPr>
          <w:rFonts w:hint="eastAsia" w:hAnsi="宋体"/>
          <w:highlight w:val="green"/>
        </w:rPr>
        <w:t>对1498#测风塔数据进行统计，1498#测风塔100m高度的年平均风速为7.048m/s，（折算到标准空气密度下为7.028m/s)，风功率密度分别为321W/m2；</w:t>
      </w:r>
    </w:p>
    <w:p>
      <w:pPr>
        <w:spacing w:before="156" w:beforeLines="50" w:line="360" w:lineRule="auto"/>
        <w:ind w:firstLine="482"/>
        <w:rPr>
          <w:rFonts w:hint="eastAsia" w:hAnsi="宋体"/>
          <w:highlight w:val="green"/>
        </w:rPr>
      </w:pPr>
      <w:r>
        <w:rPr>
          <w:rFonts w:hint="eastAsia" w:hAnsi="宋体"/>
          <w:highlight w:val="green"/>
        </w:rPr>
        <w:t>对1499#测风塔数据进行统计，1499#测风塔100m高度的年平均风速为6.927m/s，（折算到标准空气密度下为6.907m/s)，风功率密度分别为326W/m2。</w:t>
      </w:r>
    </w:p>
    <w:p>
      <w:pPr>
        <w:spacing w:line="360" w:lineRule="auto"/>
        <w:ind w:firstLine="480"/>
        <w:rPr>
          <w:rFonts w:hAnsi="宋体"/>
        </w:rPr>
      </w:pPr>
      <w:r>
        <w:rPr>
          <w:rFonts w:hint="eastAsia" w:hAnsi="宋体"/>
        </w:rPr>
        <w:t>各测风高度的平均风速、风功率密度如表2-3所示。各测风塔100m高度的逐月风速及风功率密度如表2-4、图2-2所示。各</w:t>
      </w:r>
      <w:bookmarkStart w:id="24" w:name="_GoBack"/>
      <w:bookmarkEnd w:id="24"/>
      <w:r>
        <w:rPr>
          <w:rFonts w:hint="eastAsia" w:hAnsi="宋体"/>
        </w:rPr>
        <w:t>测风塔100m高度的逐时风速及风功率密度如表2-5、图2-3所示。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表2-3 测风塔各高度参考周期平均风速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13"/>
        <w:gridCol w:w="1212"/>
        <w:gridCol w:w="1213"/>
        <w:gridCol w:w="1212"/>
        <w:gridCol w:w="1213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高度（m）</w:t>
            </w:r>
          </w:p>
        </w:tc>
        <w:tc>
          <w:tcPr>
            <w:tcW w:w="3638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1498#</w:t>
            </w:r>
          </w:p>
        </w:tc>
        <w:tc>
          <w:tcPr>
            <w:tcW w:w="363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1499#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现场空气密度下平均风速（m/s）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标况下平均风速（m/s）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风功率密度（W/m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现场空气密度下平均风速（m/s）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标况下平均风速（m/s）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风功率密度（W/m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100mA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6.990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6.970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6.808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6.789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100mB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7.048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7.028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6.927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6.907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80mA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6.614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6.595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6.35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6.332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80mB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6.608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6.589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6.483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6.464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70m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6.099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6.082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50m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5.818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5.801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5.659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5.643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30m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5.073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5.058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4.863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4.849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124</w:t>
            </w:r>
          </w:p>
        </w:tc>
      </w:tr>
    </w:tbl>
    <w:p>
      <w:pPr>
        <w:pStyle w:val="35"/>
        <w:numPr>
          <w:ilvl w:val="0"/>
          <w:numId w:val="0"/>
        </w:numPr>
        <w:spacing w:before="156" w:afterLines="0"/>
        <w:jc w:val="both"/>
        <w:rPr>
          <w:rFonts w:ascii="Arial" w:hAnsi="宋体" w:eastAsiaTheme="minorEastAsia" w:cstheme="minorBidi"/>
          <w:kern w:val="2"/>
          <w:szCs w:val="22"/>
        </w:rPr>
      </w:pPr>
      <w:r>
        <w:rPr>
          <w:rFonts w:hint="eastAsia" w:ascii="Arial" w:hAnsi="宋体" w:eastAsiaTheme="minorEastAsia" w:cstheme="minorBidi"/>
          <w:kern w:val="2"/>
          <w:szCs w:val="22"/>
        </w:rPr>
        <w:t xml:space="preserve"> </w:t>
      </w:r>
    </w:p>
    <w:p>
      <w:pPr>
        <w:rPr>
          <w:rFonts w:hAnsi="宋体"/>
        </w:rPr>
      </w:pPr>
      <w:r>
        <w:rPr>
          <w:rFonts w:hint="eastAsia" w:hAnsi="宋体"/>
        </w:rPr>
        <w:br w:type="page"/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表2-4测风塔逐月风速及风功率密度</w:t>
      </w:r>
    </w:p>
    <w:tbl>
      <w:tblPr>
        <w:tblStyle w:val="8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1667"/>
        <w:gridCol w:w="1668"/>
        <w:gridCol w:w="1667"/>
        <w:gridCol w:w="1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月份</w:t>
            </w:r>
          </w:p>
        </w:tc>
        <w:tc>
          <w:tcPr>
            <w:tcW w:w="3335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平均风速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3334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平均风功率密度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(W/m2)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7.617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7.557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381.3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384.8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8.082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8.129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456.02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467.03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7.886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7.735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439.65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435.36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7.259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7.353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358.11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391.38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7.752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7.867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418.85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461.66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6.407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6.325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242.53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245.98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6.032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5.863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182.3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173.55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5.884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5.545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165.31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153.87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6.156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5.816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192.73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183.03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7.507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361.13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396.23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7.066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6.748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325.79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303.98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6.939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6.676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324.38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310.6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7.046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6.924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320.33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325.39</w:t>
            </w:r>
          </w:p>
        </w:tc>
      </w:tr>
    </w:tbl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 xml:space="preserve">  表2-5测风塔逐时风速及风功率密度</w:t>
      </w:r>
    </w:p>
    <w:tbl>
      <w:tblPr>
        <w:tblStyle w:val="8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1667"/>
        <w:gridCol w:w="1668"/>
        <w:gridCol w:w="1667"/>
        <w:gridCol w:w="1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时刻</w:t>
            </w:r>
          </w:p>
        </w:tc>
        <w:tc>
          <w:tcPr>
            <w:tcW w:w="3335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平均风速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3334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平均风功率密度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(W/m2)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7.502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7.415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7.444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7.383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7.385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7.471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7.299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7.597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7.392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7.495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7.245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7.238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6.783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6.553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6.432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6.221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6.396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6.517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6.334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6.681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6.501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6.825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6.704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6.986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6.899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6.982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7.029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6.904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6.961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6.826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6.874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6.783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6.809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6.766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6.973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6.902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7.052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7.023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7.099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7.073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7.199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7.333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7.298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365</w:t>
            </w:r>
          </w:p>
        </w:tc>
      </w:tr>
    </w:tbl>
    <w:p>
      <w:pPr>
        <w:jc w:val="center"/>
        <w:rPr>
          <w:rFonts w:ascii="Times New Roman" w:hAnsi="Times New Roman" w:eastAsia="宋体" w:cs="Times New Roman"/>
          <w:color w:val="000000"/>
          <w:sz w:val="18"/>
          <w:szCs w:val="18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175250" cy="1602105"/>
            <wp:effectExtent l="0" t="0" r="6350" b="1714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  <w:lang w:val="en-GB"/>
        </w:rPr>
      </w:pP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图2-</w:t>
      </w:r>
      <w:r>
        <w:rPr>
          <w:rFonts w:hint="eastAsia" w:ascii="黑体" w:hAnsi="Times New Roman" w:eastAsia="黑体" w:cs="Times New Roman"/>
          <w:kern w:val="0"/>
          <w:szCs w:val="20"/>
        </w:rPr>
        <w:t>2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 xml:space="preserve">  测风塔</w:t>
      </w:r>
      <w:r>
        <w:rPr>
          <w:rFonts w:hint="eastAsia" w:ascii="黑体" w:hAnsi="Times New Roman" w:eastAsia="黑体" w:cs="Times New Roman"/>
          <w:kern w:val="0"/>
          <w:szCs w:val="20"/>
        </w:rPr>
        <w:t>100m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测层逐月风速及风功率密度分布</w:t>
      </w:r>
    </w:p>
    <w:p>
      <w:pPr>
        <w:widowControl/>
        <w:jc w:val="center"/>
      </w:pPr>
      <w:r>
        <w:drawing>
          <wp:inline distT="0" distB="0" distL="114300" distR="114300">
            <wp:extent cx="5412740" cy="1602105"/>
            <wp:effectExtent l="0" t="0" r="16510" b="1714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  <w:lang w:val="en-GB"/>
        </w:rPr>
      </w:pP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图2-</w:t>
      </w:r>
      <w:r>
        <w:rPr>
          <w:rFonts w:hint="eastAsia" w:ascii="黑体" w:hAnsi="Times New Roman" w:eastAsia="黑体" w:cs="Times New Roman"/>
          <w:kern w:val="0"/>
          <w:szCs w:val="20"/>
        </w:rPr>
        <w:t>3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 xml:space="preserve">  测风塔</w:t>
      </w:r>
      <w:r>
        <w:rPr>
          <w:rFonts w:hint="eastAsia" w:ascii="黑体" w:hAnsi="Times New Roman" w:eastAsia="黑体" w:cs="Times New Roman"/>
          <w:kern w:val="0"/>
          <w:szCs w:val="20"/>
        </w:rPr>
        <w:t>100m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测层逐时风速及风功率密度分布</w:t>
      </w:r>
    </w:p>
    <w:bookmarkEnd w:id="4"/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5" w:name="_Toc51266141"/>
      <w:bookmarkStart w:id="6" w:name="_Toc404764721"/>
      <w:r>
        <w:rPr>
          <w:rFonts w:hint="eastAsia" w:ascii="Arial" w:hAnsi="宋体" w:eastAsiaTheme="minorEastAsia" w:cstheme="minorBidi"/>
          <w:kern w:val="2"/>
          <w:sz w:val="21"/>
          <w:szCs w:val="22"/>
        </w:rPr>
        <w:t>长年代订正</w:t>
      </w:r>
      <w:bookmarkEnd w:id="5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1）长期数据选取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对于风速的长年代分析，选择一个有代表性的“基准站”是客观分析的关键，该“基准站”需具备以下必要条件：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该测风站的测风环境保持长年不变；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该测风站所处的地理位置、气候特征等应与被考察地区相似；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该测风站历史测风数据年限要达到20年以上。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经分析气象站与风电场位置关系可知，距离本风电场最近的彰武气象站地形与风电场地形相似性较差，可参考性不强，不适宜作为长年代订正的参考。本报告测风塔采用3Tier长期数据（MERRA2）对风场实测数据进行代表年修正，收集的MERRA2数据与各测风塔数据相关性分析结果如表2-6所示。</w:t>
      </w:r>
    </w:p>
    <w:p>
      <w:pPr>
        <w:pStyle w:val="35"/>
        <w:numPr>
          <w:ilvl w:val="0"/>
          <w:numId w:val="0"/>
        </w:numPr>
        <w:spacing w:before="156" w:afterLines="0"/>
      </w:pP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表2-6测风塔与长期数据相关性分析结果表</w:t>
      </w:r>
    </w:p>
    <w:tbl>
      <w:tblPr>
        <w:tblStyle w:val="9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237"/>
        <w:gridCol w:w="3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测风塔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风速相关系数（R2）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风向相关系数（R2）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0.923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0.562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0.919</w:t>
            </w:r>
          </w:p>
        </w:tc>
      </w:tr>
    </w:tbl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经分析MERRA2数据可知，1498#、1499#测风塔与长期数据相关关系较高，与长年代数据相关性较好，建议采用MERRA2数据做长年代分析订正。</w:t>
      </w:r>
    </w:p>
    <w:p>
      <w:pPr>
        <w:pStyle w:val="32"/>
        <w:numPr>
          <w:ilvl w:val="0"/>
          <w:numId w:val="3"/>
        </w:numPr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长年代水平判断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长期数据MERRA2年平均风速统计值见表2.7，近30年年平均风速分布图如图2-4所示。参考20年中尺度数据，本阶段认为测风塔在长年代水平。1498#、1499#测风塔测风时段（2015.03.01~2016.02.29）为平风年，不需要进行订正。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表2-7长年代数据30年平均风速表</w:t>
      </w:r>
    </w:p>
    <w:tbl>
      <w:tblPr>
        <w:tblStyle w:val="8"/>
        <w:tblW w:w="829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211"/>
        <w:gridCol w:w="1117"/>
        <w:gridCol w:w="1211"/>
        <w:gridCol w:w="2429"/>
        <w:gridCol w:w="12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</w:t>
            </w:r>
          </w:p>
        </w:tc>
        <w:tc>
          <w:tcPr>
            <w:tcW w:w="111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</w:t>
            </w:r>
          </w:p>
        </w:tc>
        <w:tc>
          <w:tcPr>
            <w:tcW w:w="242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m/s</w:t>
            </w:r>
          </w:p>
        </w:tc>
        <w:tc>
          <w:tcPr>
            <w:tcW w:w="111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m/s</w:t>
            </w:r>
          </w:p>
        </w:tc>
        <w:tc>
          <w:tcPr>
            <w:tcW w:w="242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m/s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6.385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6.760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6.645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7.204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6.490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6.760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6.434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6.606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6.571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6.638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6.662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6.558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6.202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6.522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6.788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6.419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6.672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近30年均值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6.582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6.355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6.490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近20年均值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6.458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6.375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近10年均值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6.722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6.279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测风时段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6.712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6.653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近30年偏差百分比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-0.203%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6.714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6.845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近20年偏差百分比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0.001%</w:t>
            </w:r>
          </w:p>
        </w:tc>
      </w:tr>
    </w:tbl>
    <w:p>
      <w:pPr>
        <w:pStyle w:val="32"/>
        <w:ind w:firstLine="0"/>
        <w:jc w:val="center"/>
      </w:pPr>
      <w:r>
        <w:drawing>
          <wp:inline distT="0" distB="0" distL="114300" distR="114300">
            <wp:extent cx="4528820" cy="2508885"/>
            <wp:effectExtent l="0" t="0" r="508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图2-4 长年代MERRA2近30年年平均风速柱状图</w:t>
      </w:r>
    </w:p>
    <w:p>
      <w:pPr>
        <w:pStyle w:val="33"/>
        <w:numPr>
          <w:ilvl w:val="2"/>
          <w:numId w:val="1"/>
        </w:numPr>
        <w:spacing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7" w:name="_Toc51266142"/>
      <w:r>
        <w:rPr>
          <w:rFonts w:hint="eastAsia" w:ascii="Arial" w:hAnsi="宋体" w:eastAsiaTheme="minorEastAsia" w:cstheme="minorBidi"/>
          <w:kern w:val="2"/>
          <w:sz w:val="21"/>
          <w:szCs w:val="22"/>
        </w:rPr>
        <w:t>威布尔分布</w:t>
      </w:r>
      <w:bookmarkEnd w:id="6"/>
      <w:bookmarkEnd w:id="7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按照《风电场风能资源评估方法》 GB/T 18710-2002 规范完成 1498</w:t>
      </w:r>
      <w:r>
        <w:rPr>
          <w:rFonts w:hint="eastAsia" w:hAnsi="宋体" w:cstheme="minorBidi"/>
          <w:sz w:val="21"/>
          <w:lang w:val="en-GB"/>
        </w:rPr>
        <w:t>#、</w:t>
      </w:r>
      <w:r>
        <w:rPr>
          <w:rFonts w:hint="eastAsia" w:hAnsi="宋体" w:cstheme="minorBidi"/>
          <w:sz w:val="21"/>
        </w:rPr>
        <w:t>1499</w:t>
      </w:r>
      <w:r>
        <w:rPr>
          <w:rFonts w:hint="eastAsia" w:hAnsi="宋体" w:cstheme="minorBidi"/>
          <w:sz w:val="21"/>
          <w:lang w:val="en-GB"/>
        </w:rPr>
        <w:t>#两</w:t>
      </w:r>
      <w:r>
        <w:rPr>
          <w:rFonts w:hint="eastAsia" w:hAnsi="宋体" w:cstheme="minorBidi"/>
          <w:sz w:val="21"/>
        </w:rPr>
        <w:t>座测风塔测风数据的处理与分析工作，参考周期内1498#测风塔100m高度的年平均风速为7.048m/s(折算到标准空气密度下为7.028m/s)，参考周期内1499#测风塔100m高度的年平均风速为6.927m/s，折算到标准空气密度下为6.907m/s)。参考周期内1498#测风塔A=7.90m/s，K=2.68，参考周期内1499#测风塔A=7.79m/s，K=2.45。不同风速区间占比统计如表2-8 所示。1498#测风塔 100m高度代表年威布尔分布参数如图2-5 所示，1499#测风塔 100m高度代表年威布尔分布参数如图2-6 所示。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表2-8测风塔不同风速段的风速风频统计(100m)</w:t>
      </w:r>
    </w:p>
    <w:tbl>
      <w:tblPr>
        <w:tblStyle w:val="8"/>
        <w:tblW w:w="85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068"/>
        <w:gridCol w:w="1100"/>
        <w:gridCol w:w="1375"/>
        <w:gridCol w:w="1377"/>
        <w:gridCol w:w="1374"/>
        <w:gridCol w:w="137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测风塔编号</w:t>
            </w:r>
          </w:p>
        </w:tc>
        <w:tc>
          <w:tcPr>
            <w:tcW w:w="27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27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2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Bin 区间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样本数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频率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样本数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频率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1.402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933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1.799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1,519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2.909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1,914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3.691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2,920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5.593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3,425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6.606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4,297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8.230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4,980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9.605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5,587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10.701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5,853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11.288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6,918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13.250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6,232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12.019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7,132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13.660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6,480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12.498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7,031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13.467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6,118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11.799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5,958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11.412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5,319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10.258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4,342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8.316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4,158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8.019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2,777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5.319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2,833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5.464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1,439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2.756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1,692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3.263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1.530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1.855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0.897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0.447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0.226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0.179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0.058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</w:tr>
    </w:tbl>
    <w:p>
      <w:pPr>
        <w:pStyle w:val="32"/>
        <w:rPr>
          <w:rFonts w:ascii="宋体" w:hAnsi="宋体"/>
          <w:szCs w:val="24"/>
        </w:rPr>
      </w:pPr>
      <w:r>
        <w:rPr>
          <w:rFonts w:hint="eastAsia" w:cs="Times New Roman" w:asciiTheme="minorEastAsia" w:hAnsiTheme="minorEastAsia"/>
          <w:color w:val="000000"/>
          <w:szCs w:val="21"/>
          <w:u w:color="000000"/>
        </w:rPr>
        <w:drawing>
          <wp:inline distT="0" distB="0" distL="114300" distR="114300">
            <wp:extent cx="4884420" cy="3743960"/>
            <wp:effectExtent l="0" t="0" r="11430" b="8890"/>
            <wp:docPr id="12" name="图片 12" descr="02 1498 威布尔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2 1498 威布尔分布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图2-5 1498#测风塔100m高度威布尔分布</w:t>
      </w:r>
    </w:p>
    <w:p>
      <w:pPr>
        <w:ind w:firstLine="48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drawing>
          <wp:inline distT="0" distB="0" distL="114300" distR="114300">
            <wp:extent cx="4860290" cy="3726180"/>
            <wp:effectExtent l="0" t="0" r="16510" b="7620"/>
            <wp:docPr id="13" name="图片 13" descr="02 1499 威布尔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2 1499 威布尔分布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图2-6 1499#测风塔100m高度威布尔分布</w:t>
      </w:r>
    </w:p>
    <w:p>
      <w:pPr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br w:type="page"/>
      </w:r>
    </w:p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8" w:name="_Toc368313145"/>
      <w:bookmarkStart w:id="9" w:name="_Toc404764718"/>
      <w:bookmarkStart w:id="10" w:name="_Toc342643212"/>
      <w:bookmarkStart w:id="11" w:name="_Toc51266143"/>
      <w:bookmarkStart w:id="12" w:name="_Toc333835964"/>
      <w:r>
        <w:rPr>
          <w:rFonts w:hint="eastAsia" w:ascii="Arial" w:hAnsi="宋体" w:eastAsiaTheme="minorEastAsia" w:cstheme="minorBidi"/>
          <w:kern w:val="2"/>
          <w:sz w:val="21"/>
          <w:szCs w:val="22"/>
        </w:rPr>
        <w:t>风切变</w:t>
      </w:r>
      <w:bookmarkEnd w:id="8"/>
      <w:bookmarkEnd w:id="9"/>
      <w:bookmarkEnd w:id="10"/>
      <w:bookmarkEnd w:id="11"/>
    </w:p>
    <w:p>
      <w:pPr>
        <w:pStyle w:val="32"/>
        <w:rPr>
          <w:rFonts w:hAnsi="宋体" w:cstheme="minorBidi"/>
          <w:sz w:val="21"/>
        </w:rPr>
      </w:pPr>
      <w:bookmarkStart w:id="13" w:name="_Toc342643213"/>
      <w:r>
        <w:rPr>
          <w:rFonts w:hint="eastAsia" w:hAnsi="宋体" w:cstheme="minorBidi"/>
          <w:sz w:val="21"/>
        </w:rPr>
        <w:t>风切变在这里指的是风的垂直切变，是水平风速在垂直距离上的变化。风切变指数随着场址位置、测层不同而不同。风切变指数越大，证明轮毂高度越高，风资源条件越好，能获得更好的发电效益，但风切变过大，作用于风机叶轮的荷载则更不平衡，不利于风机的稳定运行。IEC 61400-1以0.2的风切变指数定义风机设计的垂直风况条件，由于风切变受地形、地貌、年份、季节等影响。在内陆平坦地形风电场，受地表粗糙度的影响，容易产生较大的风切变现象。风速随高度变化服从普朗特经验公式，利用风切变幂律（风廓线）公式求得不同高度的风切变指数。</w:t>
      </w:r>
    </w:p>
    <w:p>
      <w:pPr>
        <w:pStyle w:val="36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752475" cy="59055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风切变指数越大，证明越往高处，风速的增长的指数关系越大。风切变指数越小，证明越往高处，风速的增长的指数关系越小。1498#测风塔 100m处综合风切变指数0.272；1499#测风塔 100m处综合风切变指数0.290；测风塔各测层间实测风切变指数见表2-9、表2-10。实测及拟合后的垂直风廓线见图</w:t>
      </w:r>
      <w:r>
        <w:rPr>
          <w:rFonts w:hint="eastAsia" w:hAnsi="宋体" w:cstheme="minorBidi"/>
          <w:sz w:val="21"/>
          <w:lang w:val="en-GB"/>
        </w:rPr>
        <w:t>2</w:t>
      </w:r>
      <w:r>
        <w:rPr>
          <w:rFonts w:hint="eastAsia" w:hAnsi="宋体" w:cstheme="minorBidi"/>
          <w:sz w:val="21"/>
        </w:rPr>
        <w:t>-7。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表2-9  1498#测风塔各层风切变指数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179"/>
        <w:gridCol w:w="1179"/>
        <w:gridCol w:w="1179"/>
        <w:gridCol w:w="1179"/>
        <w:gridCol w:w="1179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测层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0.247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0.277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0.271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hAnsi="黑体"/>
        </w:rPr>
      </w:pPr>
      <w:r>
        <w:rPr>
          <w:rFonts w:hint="eastAsia" w:cs="宋体" w:asciiTheme="minorEastAsia" w:hAnsiTheme="minorEastAsia"/>
          <w:color w:val="000000"/>
          <w:sz w:val="18"/>
          <w:szCs w:val="18"/>
        </w:rPr>
        <w:t>*1498#</w:t>
      </w:r>
      <w:r>
        <w:rPr>
          <w:rFonts w:cs="宋体" w:asciiTheme="minorEastAsia" w:hAnsiTheme="minorEastAsia"/>
          <w:color w:val="000000"/>
          <w:sz w:val="18"/>
          <w:szCs w:val="18"/>
        </w:rPr>
        <w:t xml:space="preserve"> 1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0</w:t>
      </w:r>
      <w:r>
        <w:rPr>
          <w:rFonts w:cs="宋体" w:asciiTheme="minorEastAsia" w:hAnsiTheme="minorEastAsia"/>
          <w:color w:val="000000"/>
          <w:sz w:val="18"/>
          <w:szCs w:val="18"/>
        </w:rPr>
        <w:t>0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m采用3</w:t>
      </w:r>
      <w:r>
        <w:rPr>
          <w:rFonts w:cs="宋体" w:asciiTheme="minorEastAsia" w:hAnsiTheme="minorEastAsia"/>
          <w:color w:val="000000"/>
          <w:sz w:val="18"/>
          <w:szCs w:val="18"/>
        </w:rPr>
        <w:t>0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m/50m/80mB/</w:t>
      </w:r>
      <w:r>
        <w:rPr>
          <w:rFonts w:cs="宋体" w:asciiTheme="minorEastAsia" w:hAnsiTheme="minorEastAsia"/>
          <w:color w:val="000000"/>
          <w:sz w:val="18"/>
          <w:szCs w:val="18"/>
        </w:rPr>
        <w:t>100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mB</w:t>
      </w:r>
      <w:r>
        <w:rPr>
          <w:rFonts w:cs="宋体" w:asciiTheme="minorEastAsia" w:hAnsiTheme="minorEastAsia"/>
          <w:color w:val="00000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综合风切变指数0</w:t>
      </w:r>
      <w:r>
        <w:rPr>
          <w:rFonts w:cs="宋体" w:asciiTheme="minorEastAsia" w:hAnsiTheme="minorEastAsia"/>
          <w:color w:val="000000"/>
          <w:sz w:val="18"/>
          <w:szCs w:val="18"/>
        </w:rPr>
        <w:t>.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272；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表2-10  1499#测风塔各层风切变指数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35"/>
        <w:gridCol w:w="1035"/>
        <w:gridCol w:w="1035"/>
        <w:gridCol w:w="1035"/>
        <w:gridCol w:w="1035"/>
        <w:gridCol w:w="1035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测层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70m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0.312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0.308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0.297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0.245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70m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36"/>
        <w:ind w:firstLine="0" w:firstLineChars="0"/>
        <w:jc w:val="left"/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*1499#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 xml:space="preserve"> 1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0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0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m采用3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0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m/50m/70m/80mB/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100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mB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综合风切变指数0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.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290；</w:t>
      </w:r>
    </w:p>
    <w:p>
      <w:pPr>
        <w:pStyle w:val="36"/>
        <w:ind w:firstLine="0" w:firstLineChars="0"/>
        <w:jc w:val="left"/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6"/>
              <w:ind w:firstLine="0" w:firstLineChars="0"/>
              <w:jc w:val="left"/>
              <w:rPr>
                <w:rFonts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  <w:drawing>
                <wp:inline distT="0" distB="0" distL="114300" distR="114300">
                  <wp:extent cx="2552700" cy="2160270"/>
                  <wp:effectExtent l="0" t="0" r="0" b="11430"/>
                  <wp:docPr id="1" name="图片 1" descr="04 1498 风切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4 1498 风切变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6"/>
              <w:ind w:firstLine="0" w:firstLineChars="0"/>
              <w:jc w:val="left"/>
              <w:rPr>
                <w:rFonts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  <w:drawing>
                <wp:inline distT="0" distB="0" distL="114300" distR="114300">
                  <wp:extent cx="2552700" cy="2160270"/>
                  <wp:effectExtent l="0" t="0" r="0" b="11430"/>
                  <wp:docPr id="2" name="图片 2" descr="04 1499 风切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4 1499 风切变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图2-7 1498#测风塔（左）1499#测风塔（右）垂直风廓线图</w:t>
      </w:r>
    </w:p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14" w:name="_Toc51266144"/>
      <w:r>
        <w:rPr>
          <w:rFonts w:hint="eastAsia" w:ascii="Arial" w:hAnsi="宋体" w:eastAsiaTheme="minorEastAsia" w:cstheme="minorBidi"/>
          <w:kern w:val="2"/>
          <w:sz w:val="21"/>
          <w:szCs w:val="22"/>
        </w:rPr>
        <w:t>主风向及风能主方向</w:t>
      </w:r>
      <w:bookmarkEnd w:id="14"/>
    </w:p>
    <w:p>
      <w:pPr>
        <w:pStyle w:val="32"/>
        <w:rPr>
          <w:rFonts w:hAnsi="宋体" w:cstheme="minorBidi"/>
          <w:sz w:val="21"/>
          <w:lang w:val="en-GB"/>
        </w:rPr>
      </w:pPr>
      <w:r>
        <w:rPr>
          <w:rFonts w:hint="eastAsia" w:hAnsi="宋体" w:cstheme="minorBidi"/>
          <w:sz w:val="21"/>
        </w:rPr>
        <w:t>1498</w:t>
      </w:r>
      <w:r>
        <w:rPr>
          <w:rFonts w:hint="eastAsia" w:hAnsi="宋体" w:cstheme="minorBidi"/>
          <w:sz w:val="21"/>
          <w:lang w:val="en-GB"/>
        </w:rPr>
        <w:t>#、</w:t>
      </w:r>
      <w:r>
        <w:rPr>
          <w:rFonts w:hint="eastAsia" w:hAnsi="宋体" w:cstheme="minorBidi"/>
          <w:sz w:val="21"/>
        </w:rPr>
        <w:t>1499</w:t>
      </w:r>
      <w:r>
        <w:rPr>
          <w:rFonts w:hint="eastAsia" w:hAnsi="宋体" w:cstheme="minorBidi"/>
          <w:sz w:val="21"/>
          <w:lang w:val="en-GB"/>
        </w:rPr>
        <w:t>#测风塔风向及风能密度方向玫瑰图如图</w:t>
      </w:r>
      <w:r>
        <w:rPr>
          <w:rFonts w:hint="eastAsia" w:hAnsi="宋体" w:cstheme="minorBidi"/>
          <w:sz w:val="21"/>
        </w:rPr>
        <w:t>2-8、图2-9</w:t>
      </w:r>
      <w:r>
        <w:rPr>
          <w:rFonts w:hint="eastAsia" w:hAnsi="宋体" w:cstheme="minorBidi"/>
          <w:sz w:val="21"/>
          <w:lang w:val="en-GB"/>
        </w:rPr>
        <w:t xml:space="preserve">所示，风电场主导方向相对集中，基本以 </w:t>
      </w:r>
      <w:r>
        <w:rPr>
          <w:rFonts w:hint="eastAsia" w:hAnsi="宋体" w:cstheme="minorBidi"/>
          <w:sz w:val="21"/>
        </w:rPr>
        <w:t>N</w:t>
      </w:r>
      <w:r>
        <w:rPr>
          <w:rFonts w:hint="eastAsia" w:hAnsi="宋体" w:cstheme="minorBidi"/>
          <w:sz w:val="21"/>
          <w:lang w:val="en-GB"/>
        </w:rPr>
        <w:t>NW、</w:t>
      </w:r>
      <w:r>
        <w:rPr>
          <w:rFonts w:hint="eastAsia" w:hAnsi="宋体" w:cstheme="minorBidi"/>
          <w:sz w:val="21"/>
        </w:rPr>
        <w:t>N</w:t>
      </w:r>
      <w:r>
        <w:rPr>
          <w:rFonts w:hint="eastAsia" w:hAnsi="宋体" w:cstheme="minorBidi"/>
          <w:sz w:val="21"/>
          <w:lang w:val="en-GB"/>
        </w:rPr>
        <w:t xml:space="preserve"> 和</w:t>
      </w:r>
      <w:r>
        <w:rPr>
          <w:rFonts w:hint="eastAsia" w:hAnsi="宋体" w:cstheme="minorBidi"/>
          <w:sz w:val="21"/>
        </w:rPr>
        <w:t>S</w:t>
      </w:r>
      <w:r>
        <w:rPr>
          <w:rFonts w:hint="eastAsia" w:hAnsi="宋体" w:cstheme="minorBidi"/>
          <w:sz w:val="21"/>
          <w:lang w:val="en-GB"/>
        </w:rPr>
        <w:t xml:space="preserve">SW为主，其他方向风向频率较少。主风能方向与主风向相一致，以 </w:t>
      </w:r>
      <w:r>
        <w:rPr>
          <w:rFonts w:hint="eastAsia" w:hAnsi="宋体" w:cstheme="minorBidi"/>
          <w:sz w:val="21"/>
        </w:rPr>
        <w:t>N</w:t>
      </w:r>
      <w:r>
        <w:rPr>
          <w:rFonts w:hint="eastAsia" w:hAnsi="宋体" w:cstheme="minorBidi"/>
          <w:sz w:val="21"/>
          <w:lang w:val="en-GB"/>
        </w:rPr>
        <w:t>NW、</w:t>
      </w:r>
      <w:r>
        <w:rPr>
          <w:rFonts w:hint="eastAsia" w:hAnsi="宋体" w:cstheme="minorBidi"/>
          <w:sz w:val="21"/>
        </w:rPr>
        <w:t>N</w:t>
      </w:r>
      <w:r>
        <w:rPr>
          <w:rFonts w:hint="eastAsia" w:hAnsi="宋体" w:cstheme="minorBidi"/>
          <w:sz w:val="21"/>
          <w:lang w:val="en-GB"/>
        </w:rPr>
        <w:t xml:space="preserve"> 和</w:t>
      </w:r>
      <w:r>
        <w:rPr>
          <w:rFonts w:hint="eastAsia" w:hAnsi="宋体" w:cstheme="minorBidi"/>
          <w:sz w:val="21"/>
        </w:rPr>
        <w:t>S</w:t>
      </w:r>
      <w:r>
        <w:rPr>
          <w:rFonts w:hint="eastAsia" w:hAnsi="宋体" w:cstheme="minorBidi"/>
          <w:sz w:val="21"/>
          <w:lang w:val="en-GB"/>
        </w:rPr>
        <w:t>SW为主，其他方向风能频率较少。</w:t>
      </w:r>
    </w:p>
    <w:tbl>
      <w:tblPr>
        <w:tblStyle w:val="9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2"/>
              <w:ind w:firstLine="0"/>
              <w:rPr>
                <w:rFonts w:hAnsi="宋体" w:cstheme="minorBidi"/>
                <w:sz w:val="21"/>
              </w:rPr>
            </w:pPr>
            <w:r>
              <w:rPr>
                <w:rFonts w:hint="eastAsia" w:hAnsi="宋体" w:cstheme="minorBidi"/>
                <w:sz w:val="21"/>
              </w:rPr>
              <w:drawing>
                <wp:inline distT="0" distB="0" distL="114300" distR="114300">
                  <wp:extent cx="2553335" cy="2160270"/>
                  <wp:effectExtent l="0" t="0" r="18415" b="11430"/>
                  <wp:docPr id="9" name="图片 9" descr="04 1498 风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04 1498 风向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2"/>
              <w:ind w:firstLine="0"/>
              <w:rPr>
                <w:rFonts w:hAnsi="宋体" w:cstheme="minorBidi"/>
                <w:sz w:val="21"/>
              </w:rPr>
            </w:pPr>
            <w:r>
              <w:rPr>
                <w:rFonts w:hint="eastAsia" w:hAnsi="宋体" w:cstheme="minorBidi"/>
                <w:sz w:val="21"/>
              </w:rPr>
              <w:drawing>
                <wp:inline distT="0" distB="0" distL="114300" distR="114300">
                  <wp:extent cx="2553335" cy="2160270"/>
                  <wp:effectExtent l="0" t="0" r="18415" b="11430"/>
                  <wp:docPr id="10" name="图片 10" descr="04 1498 风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4 1498 风能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 xml:space="preserve"> 图2-8 1498#风向（左）及风能（右）玫瑰图（100m）</w:t>
      </w:r>
    </w:p>
    <w:tbl>
      <w:tblPr>
        <w:tblStyle w:val="9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2"/>
              <w:ind w:firstLine="0"/>
              <w:rPr>
                <w:rFonts w:hAnsi="宋体" w:cstheme="minorBidi"/>
                <w:sz w:val="21"/>
              </w:rPr>
            </w:pPr>
            <w:r>
              <w:rPr>
                <w:rFonts w:hint="eastAsia" w:hAnsi="宋体" w:cstheme="minorBidi"/>
                <w:sz w:val="21"/>
              </w:rPr>
              <w:drawing>
                <wp:inline distT="0" distB="0" distL="114300" distR="114300">
                  <wp:extent cx="2566035" cy="2171700"/>
                  <wp:effectExtent l="0" t="0" r="5715" b="0"/>
                  <wp:docPr id="20" name="图片 20" descr="04 1499 风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04 1499 风向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2"/>
              <w:ind w:firstLine="0"/>
              <w:rPr>
                <w:rFonts w:hAnsi="宋体" w:cstheme="minorBidi"/>
                <w:sz w:val="21"/>
              </w:rPr>
            </w:pPr>
            <w:r>
              <w:rPr>
                <w:rFonts w:hint="eastAsia" w:hAnsi="宋体" w:cstheme="minorBidi"/>
                <w:sz w:val="21"/>
              </w:rPr>
              <w:drawing>
                <wp:inline distT="0" distB="0" distL="114300" distR="114300">
                  <wp:extent cx="2566035" cy="2171700"/>
                  <wp:effectExtent l="0" t="0" r="5715" b="0"/>
                  <wp:docPr id="21" name="图片 21" descr="04 1499 风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04 1499 风能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 xml:space="preserve"> 图2-9 1499#风向（左）及风能（右）玫瑰图（100m）</w:t>
      </w:r>
    </w:p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15" w:name="_Toc51266145"/>
      <w:bookmarkStart w:id="16" w:name="_Toc368313146"/>
      <w:bookmarkStart w:id="17" w:name="_Toc404764719"/>
      <w:r>
        <w:rPr>
          <w:rFonts w:hint="eastAsia" w:ascii="Arial" w:hAnsi="宋体" w:eastAsiaTheme="minorEastAsia" w:cstheme="minorBidi"/>
          <w:kern w:val="2"/>
          <w:sz w:val="21"/>
          <w:szCs w:val="22"/>
        </w:rPr>
        <w:t>湍流强度</w:t>
      </w:r>
      <w:bookmarkEnd w:id="13"/>
      <w:bookmarkEnd w:id="15"/>
      <w:bookmarkEnd w:id="16"/>
      <w:bookmarkEnd w:id="17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湍流是指风速、风向及其垂直分量的迅速扰动或不规律性，是重要的风况特征和评价气流稳定程度的指标。其很大程度上取决于环境的粗糙度、地层稳定性和障碍物。湍流强度是脉动风速的均方差与平均风速的比值。其计算公式为：</w:t>
      </w:r>
    </w:p>
    <w:tbl>
      <w:tblPr>
        <w:tblStyle w:val="8"/>
        <w:tblW w:w="659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659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04190" cy="436245"/>
                  <wp:effectExtent l="0" t="0" r="10160" b="1270"/>
                  <wp:docPr id="1054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图片 9"/>
                          <pic:cNvPicPr/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49" cy="43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t>式中：I—湍流强度；</w:t>
      </w:r>
    </w:p>
    <w:p>
      <w:pPr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drawing>
          <wp:inline distT="0" distB="0" distL="0" distR="0">
            <wp:extent cx="161925" cy="161925"/>
            <wp:effectExtent l="0" t="0" r="9525" b="7620"/>
            <wp:docPr id="1055" name="_x0000_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_x0000_t75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v—10min风速标准偏差，m/s；</w:t>
      </w:r>
    </w:p>
    <w:p>
      <w:pPr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drawing>
          <wp:inline distT="0" distB="0" distL="0" distR="0">
            <wp:extent cx="144145" cy="161925"/>
            <wp:effectExtent l="0" t="0" r="0" b="7620"/>
            <wp:docPr id="1056" name="_x0000_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_x0000_t75"/>
                    <pic:cNvPicPr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—10min平均风速，m/s。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对1498#、1499# 测风塔完整年期间的数据进行湍流强度统计，IEC标准中规定湍流强度采用15m/s风速段进行湍流的计算。各测层的湍流强度如表2-11、表2-12。1498#、1499# 测风塔100m各风速段的湍流强度如图2-10、图2-11。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表2-11 1498#测风塔各高度湍流强度表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1326"/>
        <w:gridCol w:w="1324"/>
        <w:gridCol w:w="1324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测层（m）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100mB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15m/s风速段数据量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15m/s平均湍流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（IEC2版）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（IEC3版）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0.150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湍流强度等级（ed3）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C类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表2-12 1499#测风塔各高度湍流强度表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1326"/>
        <w:gridCol w:w="1324"/>
        <w:gridCol w:w="1324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测层（m）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100mB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15m/s风速段数据量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15m/s平均湍流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（IEC2版）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（IEC3版）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湍流强度等级（IEC3版）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C类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表2-13  湍流强度分类标准</w:t>
      </w:r>
      <w:r>
        <w:t xml:space="preserve"> IEC 61400-1 3rd Edition</w:t>
      </w:r>
    </w:p>
    <w:tbl>
      <w:tblPr>
        <w:tblStyle w:val="8"/>
        <w:tblW w:w="849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9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499" w:type="dxa"/>
            <w:shd w:val="clear" w:color="auto" w:fill="auto"/>
            <w:vAlign w:val="center"/>
          </w:tcPr>
          <w:tbl>
            <w:tblPr>
              <w:tblStyle w:val="8"/>
              <w:tblW w:w="8465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79"/>
              <w:gridCol w:w="618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2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000000"/>
                      <w:sz w:val="18"/>
                      <w:szCs w:val="18"/>
                    </w:rPr>
                    <w:t>分类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000000"/>
                      <w:sz w:val="18"/>
                      <w:szCs w:val="18"/>
                    </w:rPr>
                    <w:t>15m/s平均湍流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&gt; 0.16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0.14-0.16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0.12-0.14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0-0.12</w:t>
                  </w:r>
                </w:p>
              </w:tc>
            </w:tr>
          </w:tbl>
          <w:p>
            <w:pPr>
              <w:jc w:val="center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69230" cy="3264535"/>
            <wp:effectExtent l="0" t="0" r="7620" b="12065"/>
            <wp:docPr id="4" name="图片 4" descr="03 1498 代表湍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 1498 代表湍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图2-10 1498#测风塔100m湍流强度（IEC3 版）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69230" cy="3264535"/>
            <wp:effectExtent l="0" t="0" r="7620" b="12065"/>
            <wp:docPr id="8" name="图片 8" descr="03 1499 代表湍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3 1499 代表湍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图2-11 1499#测风塔100m湍流强度（IEC3 版）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按照IEC61400-1第三版标准见表2-13，参考周期内1498#测风塔100m高处平均湍流为0.111，湍流强度TI</w:t>
      </w:r>
      <w:r>
        <w:rPr>
          <w:rFonts w:hint="eastAsia" w:hAnsi="宋体" w:cstheme="minorBidi"/>
          <w:sz w:val="21"/>
          <w:vertAlign w:val="subscript"/>
        </w:rPr>
        <w:t>15</w:t>
      </w:r>
      <w:r>
        <w:rPr>
          <w:rFonts w:hint="eastAsia" w:hAnsi="宋体" w:cstheme="minorBidi"/>
          <w:sz w:val="21"/>
        </w:rPr>
        <w:t>为0.150，湍流强度等级（IEC 3版）为C类；参考周期内1499#测风塔100m高处平均湍流为0.104，湍流强度TI</w:t>
      </w:r>
      <w:r>
        <w:rPr>
          <w:rFonts w:hint="eastAsia" w:hAnsi="宋体" w:cstheme="minorBidi"/>
          <w:sz w:val="21"/>
          <w:vertAlign w:val="subscript"/>
        </w:rPr>
        <w:t>15</w:t>
      </w:r>
      <w:r>
        <w:rPr>
          <w:rFonts w:hint="eastAsia" w:hAnsi="宋体" w:cstheme="minorBidi"/>
          <w:sz w:val="21"/>
        </w:rPr>
        <w:t>为0.162，湍流强度等级（IEC 3版）为C类。</w:t>
      </w:r>
    </w:p>
    <w:p>
      <w:pPr>
        <w:rPr>
          <w:rFonts w:ascii="黑体" w:hAnsi="Times New Roman" w:eastAsia="黑体" w:cs="Times New Roman"/>
          <w:kern w:val="0"/>
          <w:szCs w:val="20"/>
        </w:rPr>
      </w:pPr>
    </w:p>
    <w:bookmarkEnd w:id="12"/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18" w:name="_Toc51266146"/>
      <w:bookmarkStart w:id="19" w:name="_Toc333835966"/>
      <w:bookmarkStart w:id="20" w:name="_Toc404764720"/>
      <w:bookmarkStart w:id="21" w:name="_Toc368313147"/>
      <w:r>
        <w:rPr>
          <w:rFonts w:hint="eastAsia" w:ascii="Arial" w:hAnsi="宋体" w:eastAsiaTheme="minorEastAsia" w:cstheme="minorBidi"/>
          <w:kern w:val="2"/>
          <w:sz w:val="21"/>
          <w:szCs w:val="22"/>
        </w:rPr>
        <w:t>最大风速</w:t>
      </w:r>
      <w:bookmarkEnd w:id="18"/>
      <w:bookmarkEnd w:id="19"/>
      <w:bookmarkEnd w:id="20"/>
      <w:bookmarkEnd w:id="21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（1）采用IEC规定的风机设计风速反推</w:t>
      </w:r>
    </w:p>
    <w:p>
      <w:pPr>
        <w:pStyle w:val="32"/>
      </w:pPr>
      <w:r>
        <w:rPr>
          <w:rFonts w:hint="eastAsia" w:hAnsi="宋体" w:cstheme="minorBidi"/>
          <w:sz w:val="21"/>
        </w:rPr>
        <w:t>根据IEC61400（2005）风速分布模型规定的年平均风速与50年一遇10min平均最大风速之间的相关关系，即：</w:t>
      </w:r>
    </w:p>
    <w:p>
      <w:pPr>
        <w:pStyle w:val="32"/>
        <w:jc w:val="right"/>
      </w:pPr>
      <w:r>
        <w:rPr>
          <w:i/>
        </w:rPr>
        <w:t>V</w:t>
      </w:r>
      <w:r>
        <w:rPr>
          <w:i/>
          <w:vertAlign w:val="subscript"/>
        </w:rPr>
        <w:t>ave</w:t>
      </w:r>
      <w:r>
        <w:t>=0.2</w:t>
      </w:r>
      <w:r>
        <w:rPr>
          <w:i/>
        </w:rPr>
        <w:t>V</w:t>
      </w:r>
      <w:r>
        <w:rPr>
          <w:i/>
          <w:vertAlign w:val="subscript"/>
        </w:rPr>
        <w:t>ref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（1）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其中，V</w:t>
      </w:r>
      <w:r>
        <w:rPr>
          <w:rFonts w:hint="eastAsia" w:hAnsi="宋体" w:cstheme="minorBidi"/>
          <w:sz w:val="21"/>
          <w:vertAlign w:val="subscript"/>
        </w:rPr>
        <w:t>ave</w:t>
      </w:r>
      <w:r>
        <w:rPr>
          <w:rFonts w:hint="eastAsia" w:hAnsi="宋体" w:cstheme="minorBidi"/>
          <w:sz w:val="21"/>
        </w:rPr>
        <w:t>为风电场的年平均风速；</w:t>
      </w:r>
    </w:p>
    <w:p>
      <w:pPr>
        <w:pStyle w:val="32"/>
        <w:ind w:firstLine="1108" w:firstLineChars="528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V</w:t>
      </w:r>
      <w:r>
        <w:rPr>
          <w:rFonts w:hint="eastAsia" w:hAnsi="宋体" w:cstheme="minorBidi"/>
          <w:sz w:val="21"/>
          <w:vertAlign w:val="subscript"/>
        </w:rPr>
        <w:t>ref</w:t>
      </w:r>
      <w:r>
        <w:rPr>
          <w:rFonts w:hint="eastAsia" w:hAnsi="宋体" w:cstheme="minorBidi"/>
          <w:sz w:val="21"/>
        </w:rPr>
        <w:t>为参考风速；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表2-14  采用IEC规定的风机设计风速反推测风塔50年一遇最大风速统计表</w:t>
      </w:r>
    </w:p>
    <w:tbl>
      <w:tblPr>
        <w:tblStyle w:val="8"/>
        <w:tblW w:w="85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7"/>
        <w:gridCol w:w="1711"/>
        <w:gridCol w:w="1710"/>
        <w:gridCol w:w="1710"/>
        <w:gridCol w:w="17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54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五倍风速法结果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测风塔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最大风速（m/s）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极大风速(m/s)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标准空气密度下最大风速(m/s)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标准空气密度下极大风速(m/s)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1498#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35.24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49.34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35.17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1499#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34.64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48.49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34.57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48.40</w:t>
            </w:r>
          </w:p>
        </w:tc>
      </w:tr>
    </w:tbl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（2）采用IEC规定的年最大风速反推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根据IEC61400（2005）极端风速模型规定的重现期为1年的10min最大风速与50年一遇10min平均最大风速之间的相关关系。即：</w:t>
      </w:r>
    </w:p>
    <w:p>
      <w:pPr>
        <w:pStyle w:val="32"/>
        <w:jc w:val="right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V1（z）=0.8V50（z）</w:t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>（2）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其中，V</w:t>
      </w:r>
      <w:r>
        <w:rPr>
          <w:rFonts w:hint="eastAsia" w:hAnsi="宋体" w:cstheme="minorBidi"/>
          <w:sz w:val="21"/>
          <w:vertAlign w:val="subscript"/>
        </w:rPr>
        <w:t>1</w:t>
      </w:r>
      <w:r>
        <w:rPr>
          <w:rFonts w:hint="eastAsia" w:hAnsi="宋体" w:cstheme="minorBidi"/>
          <w:sz w:val="21"/>
        </w:rPr>
        <w:t>为重现期为一年的10min平均最大风速；</w:t>
      </w:r>
    </w:p>
    <w:p>
      <w:pPr>
        <w:pStyle w:val="32"/>
        <w:ind w:firstLine="1108" w:firstLineChars="528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V</w:t>
      </w:r>
      <w:r>
        <w:rPr>
          <w:rFonts w:hint="eastAsia" w:hAnsi="宋体" w:cstheme="minorBidi"/>
          <w:sz w:val="21"/>
          <w:vertAlign w:val="subscript"/>
        </w:rPr>
        <w:t>50</w:t>
      </w:r>
      <w:r>
        <w:rPr>
          <w:rFonts w:hint="eastAsia" w:hAnsi="宋体" w:cstheme="minorBidi"/>
          <w:sz w:val="21"/>
        </w:rPr>
        <w:t>为重现期为50年的10min平均最大风速；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表2-15  采用IEC规定的年最大风速反推测风塔50年一遇最大风速统计表</w:t>
      </w:r>
    </w:p>
    <w:tbl>
      <w:tblPr>
        <w:tblStyle w:val="8"/>
        <w:tblW w:w="85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1720"/>
        <w:gridCol w:w="1720"/>
        <w:gridCol w:w="1720"/>
        <w:gridCol w:w="16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55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采用IEC规定的年最大风速反推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测风塔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最大风速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极大风速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标准空气密度下最大风速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标准空气密度下极大风速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1498#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35.63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49.88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35.56</w:t>
            </w:r>
          </w:p>
        </w:tc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1499#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36.25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50.75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36.18</w:t>
            </w:r>
          </w:p>
        </w:tc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50.65</w:t>
            </w:r>
          </w:p>
        </w:tc>
      </w:tr>
    </w:tbl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（3）小结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为安全起见，选取以上结果中算出的最大风速，得出本风电场100m高度50年一遇最大风速为36.18m/s（标准空气密度），50年一遇3s平均极大风速为50.65m/s（标准空气密度）。综合考虑各测风塔平均风速、极端风速的评估结果，适合选用安全等级为 IEC III类及以上的风电机组。</w:t>
      </w:r>
    </w:p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22" w:name="_Toc51266147"/>
      <w:bookmarkStart w:id="23" w:name="_Toc404764723"/>
      <w:r>
        <w:rPr>
          <w:rFonts w:hint="eastAsia" w:ascii="Arial" w:hAnsi="宋体" w:eastAsiaTheme="minorEastAsia" w:cstheme="minorBidi"/>
          <w:kern w:val="2"/>
          <w:sz w:val="21"/>
          <w:szCs w:val="22"/>
        </w:rPr>
        <w:t>温度</w:t>
      </w:r>
      <w:bookmarkEnd w:id="22"/>
      <w:bookmarkEnd w:id="23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根据测风塔实测数据，测期内场址的极端最低温度为-28.1℃，发生于2016.01.23 06:00 时，推荐采用低温型机组。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CE3"/>
    <w:multiLevelType w:val="multilevel"/>
    <w:tmpl w:val="15201CE3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　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943C9D"/>
    <w:multiLevelType w:val="multilevel"/>
    <w:tmpl w:val="59943C9D"/>
    <w:lvl w:ilvl="0" w:tentative="0">
      <w:start w:val="1"/>
      <w:numFmt w:val="decimal"/>
      <w:pStyle w:val="35"/>
      <w:lvlText w:val="表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8C7605"/>
    <w:multiLevelType w:val="singleLevel"/>
    <w:tmpl w:val="7D8C7605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  <w:lvlOverride w:ilvl="0">
      <w:lvl w:ilvl="0" w:tentative="1">
        <w:start w:val="1"/>
        <w:numFmt w:val="decimal"/>
        <w:suff w:val="nothing"/>
        <w:lvlText w:val="%1　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pStyle w:val="33"/>
        <w:suff w:val="nothing"/>
        <w:lvlText w:val="%1.%2　"/>
        <w:lvlJc w:val="left"/>
        <w:pPr>
          <w:ind w:left="284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suff w:val="nothing"/>
        <w:lvlText w:val="%1.%2.%3　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suff w:val="nothing"/>
        <w:lvlText w:val="%1.%2.%3.%4　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suff w:val="nothing"/>
        <w:lvlText w:val="%1.%2.%3.%4.%5　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suff w:val="nothing"/>
        <w:lvlText w:val="%1.%2.%3.%4.%5.%6　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NzAyMjU0trQwNzBX0lEKTi0uzszPAykwMa4FAEYpPxktAAAA"/>
  </w:docVars>
  <w:rsids>
    <w:rsidRoot w:val="00922A71"/>
    <w:rsid w:val="00065B6D"/>
    <w:rsid w:val="00092C05"/>
    <w:rsid w:val="000A0864"/>
    <w:rsid w:val="000B4BFA"/>
    <w:rsid w:val="000C1A28"/>
    <w:rsid w:val="000C352F"/>
    <w:rsid w:val="000D48CC"/>
    <w:rsid w:val="00107791"/>
    <w:rsid w:val="00171CC4"/>
    <w:rsid w:val="001F4273"/>
    <w:rsid w:val="00274E1A"/>
    <w:rsid w:val="002923DB"/>
    <w:rsid w:val="002A06E7"/>
    <w:rsid w:val="002A3CA7"/>
    <w:rsid w:val="002B59F5"/>
    <w:rsid w:val="002C0158"/>
    <w:rsid w:val="003E4271"/>
    <w:rsid w:val="004133AB"/>
    <w:rsid w:val="00444BDA"/>
    <w:rsid w:val="00463786"/>
    <w:rsid w:val="004B2BC6"/>
    <w:rsid w:val="004B3B02"/>
    <w:rsid w:val="004B4B2B"/>
    <w:rsid w:val="004E50D9"/>
    <w:rsid w:val="004F4014"/>
    <w:rsid w:val="004F654D"/>
    <w:rsid w:val="005000FE"/>
    <w:rsid w:val="00516989"/>
    <w:rsid w:val="00533FF1"/>
    <w:rsid w:val="0053699A"/>
    <w:rsid w:val="00570552"/>
    <w:rsid w:val="00587F40"/>
    <w:rsid w:val="005E31EA"/>
    <w:rsid w:val="0069343E"/>
    <w:rsid w:val="006C739B"/>
    <w:rsid w:val="00711CC4"/>
    <w:rsid w:val="00734FDC"/>
    <w:rsid w:val="0073660F"/>
    <w:rsid w:val="00745CB7"/>
    <w:rsid w:val="00751AE4"/>
    <w:rsid w:val="00763408"/>
    <w:rsid w:val="00774E33"/>
    <w:rsid w:val="0078290B"/>
    <w:rsid w:val="007C3960"/>
    <w:rsid w:val="007F4A14"/>
    <w:rsid w:val="00823652"/>
    <w:rsid w:val="00871056"/>
    <w:rsid w:val="008A6CE5"/>
    <w:rsid w:val="00922A71"/>
    <w:rsid w:val="00930477"/>
    <w:rsid w:val="009A3C7E"/>
    <w:rsid w:val="00A55194"/>
    <w:rsid w:val="00A56F82"/>
    <w:rsid w:val="00AC61DD"/>
    <w:rsid w:val="00AD1E4F"/>
    <w:rsid w:val="00AD215B"/>
    <w:rsid w:val="00AF1600"/>
    <w:rsid w:val="00B42A3C"/>
    <w:rsid w:val="00BA7C95"/>
    <w:rsid w:val="00C31770"/>
    <w:rsid w:val="00C555BE"/>
    <w:rsid w:val="00C71E85"/>
    <w:rsid w:val="00C91347"/>
    <w:rsid w:val="00CE5A82"/>
    <w:rsid w:val="00D2457F"/>
    <w:rsid w:val="00D26D6A"/>
    <w:rsid w:val="00D32189"/>
    <w:rsid w:val="00D46639"/>
    <w:rsid w:val="00D50B20"/>
    <w:rsid w:val="00DE7F15"/>
    <w:rsid w:val="00DF3701"/>
    <w:rsid w:val="00E56450"/>
    <w:rsid w:val="00E57746"/>
    <w:rsid w:val="00E92170"/>
    <w:rsid w:val="00EB16FD"/>
    <w:rsid w:val="00EC08C2"/>
    <w:rsid w:val="00F177F0"/>
    <w:rsid w:val="00F40147"/>
    <w:rsid w:val="00F95593"/>
    <w:rsid w:val="00FB3777"/>
    <w:rsid w:val="00FD4AD0"/>
    <w:rsid w:val="139A1ABD"/>
    <w:rsid w:val="27814296"/>
    <w:rsid w:val="479D4C8E"/>
    <w:rsid w:val="5E3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customStyle="1" w:styleId="12">
    <w:name w:val="hr_章标题"/>
    <w:basedOn w:val="1"/>
    <w:link w:val="13"/>
    <w:qFormat/>
    <w:uiPriority w:val="0"/>
    <w:pPr>
      <w:keepNext/>
      <w:keepLines/>
      <w:widowControl/>
      <w:spacing w:before="326" w:beforeLines="100" w:after="326" w:afterLines="100"/>
      <w:jc w:val="center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hr_章标题 字符"/>
    <w:basedOn w:val="10"/>
    <w:link w:val="1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4">
    <w:name w:val="hr_表说明"/>
    <w:basedOn w:val="3"/>
    <w:link w:val="15"/>
    <w:qFormat/>
    <w:uiPriority w:val="0"/>
    <w:pPr>
      <w:jc w:val="left"/>
    </w:pPr>
    <w:rPr>
      <w:rFonts w:ascii="Times New Roman" w:hAnsi="Times New Roman"/>
      <w:b/>
      <w:sz w:val="21"/>
    </w:rPr>
  </w:style>
  <w:style w:type="character" w:customStyle="1" w:styleId="15">
    <w:name w:val="hr_表说明 字符"/>
    <w:basedOn w:val="10"/>
    <w:link w:val="14"/>
    <w:qFormat/>
    <w:uiPriority w:val="0"/>
    <w:rPr>
      <w:rFonts w:ascii="Times New Roman" w:hAnsi="Times New Roman" w:eastAsia="黑体" w:cstheme="majorBidi"/>
      <w:b/>
      <w:szCs w:val="20"/>
    </w:rPr>
  </w:style>
  <w:style w:type="paragraph" w:customStyle="1" w:styleId="16">
    <w:name w:val="hr_表头"/>
    <w:basedOn w:val="1"/>
    <w:link w:val="17"/>
    <w:qFormat/>
    <w:uiPriority w:val="0"/>
    <w:pPr>
      <w:widowControl/>
      <w:spacing w:before="163" w:beforeLines="50" w:after="163"/>
      <w:contextualSpacing/>
      <w:jc w:val="center"/>
    </w:pPr>
    <w:rPr>
      <w:rFonts w:ascii="Times New Roman" w:hAnsi="Times New Roman" w:eastAsia="宋体"/>
      <w:b/>
      <w:szCs w:val="21"/>
    </w:rPr>
  </w:style>
  <w:style w:type="character" w:customStyle="1" w:styleId="17">
    <w:name w:val="hr_表头 字符"/>
    <w:basedOn w:val="10"/>
    <w:link w:val="16"/>
    <w:qFormat/>
    <w:uiPriority w:val="0"/>
    <w:rPr>
      <w:rFonts w:ascii="Times New Roman" w:hAnsi="Times New Roman" w:eastAsia="宋体"/>
      <w:b/>
      <w:szCs w:val="21"/>
    </w:rPr>
  </w:style>
  <w:style w:type="paragraph" w:customStyle="1" w:styleId="18">
    <w:name w:val="hr_节标题二级"/>
    <w:basedOn w:val="7"/>
    <w:link w:val="19"/>
    <w:qFormat/>
    <w:uiPriority w:val="0"/>
    <w:pPr>
      <w:spacing w:before="489" w:beforeLines="150" w:after="163" w:afterLines="50"/>
      <w:jc w:val="left"/>
      <w:outlineLvl w:val="2"/>
    </w:pPr>
    <w:rPr>
      <w:rFonts w:ascii="Times New Roman" w:hAnsi="Times New Roman" w:eastAsia="宋体"/>
      <w:sz w:val="24"/>
    </w:rPr>
  </w:style>
  <w:style w:type="character" w:customStyle="1" w:styleId="19">
    <w:name w:val="hr_节标题二级 字符"/>
    <w:basedOn w:val="10"/>
    <w:link w:val="18"/>
    <w:qFormat/>
    <w:uiPriority w:val="0"/>
    <w:rPr>
      <w:rFonts w:ascii="Times New Roman" w:hAnsi="Times New Roman" w:eastAsia="宋体" w:cstheme="majorBidi"/>
      <w:b/>
      <w:bCs/>
      <w:sz w:val="24"/>
      <w:szCs w:val="32"/>
    </w:rPr>
  </w:style>
  <w:style w:type="character" w:customStyle="1" w:styleId="20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hr_节标题一级"/>
    <w:basedOn w:val="2"/>
    <w:link w:val="22"/>
    <w:qFormat/>
    <w:uiPriority w:val="0"/>
    <w:pPr>
      <w:spacing w:before="163" w:beforeLines="50" w:after="0" w:line="240" w:lineRule="auto"/>
      <w:jc w:val="left"/>
    </w:pPr>
    <w:rPr>
      <w:rFonts w:ascii="Times New Roman" w:hAnsi="Times New Roman"/>
      <w:sz w:val="28"/>
    </w:rPr>
  </w:style>
  <w:style w:type="character" w:customStyle="1" w:styleId="22">
    <w:name w:val="hr_节标题一级 字符"/>
    <w:basedOn w:val="10"/>
    <w:link w:val="21"/>
    <w:uiPriority w:val="0"/>
    <w:rPr>
      <w:rFonts w:ascii="Times New Roman" w:hAnsi="Times New Roman" w:eastAsiaTheme="majorEastAsia" w:cstheme="majorBidi"/>
      <w:b/>
      <w:bCs/>
      <w:sz w:val="28"/>
      <w:szCs w:val="32"/>
    </w:rPr>
  </w:style>
  <w:style w:type="character" w:customStyle="1" w:styleId="23">
    <w:name w:val="标题 2 字符"/>
    <w:basedOn w:val="10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hr_图标题"/>
    <w:basedOn w:val="3"/>
    <w:link w:val="25"/>
    <w:qFormat/>
    <w:uiPriority w:val="0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25">
    <w:name w:val="hr_图标题 字符"/>
    <w:basedOn w:val="10"/>
    <w:link w:val="24"/>
    <w:qFormat/>
    <w:uiPriority w:val="0"/>
    <w:rPr>
      <w:rFonts w:ascii="Times New Roman" w:hAnsi="Times New Roman" w:eastAsia="黑体" w:cstheme="majorBidi"/>
      <w:b/>
      <w:szCs w:val="20"/>
    </w:rPr>
  </w:style>
  <w:style w:type="paragraph" w:customStyle="1" w:styleId="26">
    <w:name w:val="hr_正文"/>
    <w:basedOn w:val="1"/>
    <w:link w:val="27"/>
    <w:qFormat/>
    <w:uiPriority w:val="0"/>
    <w:pPr>
      <w:spacing w:line="520" w:lineRule="atLeast"/>
      <w:ind w:firstLine="480" w:firstLineChars="200"/>
    </w:pPr>
    <w:rPr>
      <w:rFonts w:ascii="Times New Roman" w:hAnsi="Times New Roman" w:eastAsia="宋体"/>
      <w:sz w:val="24"/>
    </w:rPr>
  </w:style>
  <w:style w:type="character" w:customStyle="1" w:styleId="27">
    <w:name w:val="hr_正文 字符"/>
    <w:basedOn w:val="10"/>
    <w:link w:val="26"/>
    <w:qFormat/>
    <w:uiPriority w:val="0"/>
    <w:rPr>
      <w:rFonts w:ascii="Times New Roman" w:hAnsi="Times New Roman" w:eastAsia="宋体"/>
      <w:sz w:val="24"/>
    </w:rPr>
  </w:style>
  <w:style w:type="character" w:customStyle="1" w:styleId="28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9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30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31">
    <w:name w:val="01main text Char"/>
    <w:link w:val="32"/>
    <w:qFormat/>
    <w:uiPriority w:val="0"/>
    <w:rPr>
      <w:rFonts w:ascii="Times New Roman" w:hAnsi="Times New Roman" w:eastAsia="宋体" w:cs="宋体"/>
      <w:sz w:val="24"/>
    </w:rPr>
  </w:style>
  <w:style w:type="paragraph" w:customStyle="1" w:styleId="32">
    <w:name w:val="01main text"/>
    <w:basedOn w:val="1"/>
    <w:link w:val="31"/>
    <w:qFormat/>
    <w:uiPriority w:val="0"/>
    <w:pPr>
      <w:spacing w:line="520" w:lineRule="atLeast"/>
      <w:ind w:firstLine="482"/>
    </w:pPr>
    <w:rPr>
      <w:rFonts w:ascii="Times New Roman" w:hAnsi="Times New Roman" w:eastAsia="宋体" w:cs="宋体"/>
      <w:sz w:val="24"/>
    </w:rPr>
  </w:style>
  <w:style w:type="paragraph" w:customStyle="1" w:styleId="33">
    <w:name w:val="1级条标题-文字内容设计文件"/>
    <w:basedOn w:val="34"/>
    <w:qFormat/>
    <w:uiPriority w:val="0"/>
    <w:pPr>
      <w:numPr>
        <w:ilvl w:val="1"/>
        <w:numId w:val="1"/>
      </w:numPr>
      <w:spacing w:before="156" w:after="156"/>
      <w:ind w:left="0"/>
      <w:jc w:val="left"/>
    </w:pPr>
    <w:rPr>
      <w:rFonts w:hAnsi="Times New Roman" w:cs="Times New Roman"/>
      <w:kern w:val="0"/>
      <w:szCs w:val="21"/>
    </w:rPr>
  </w:style>
  <w:style w:type="paragraph" w:customStyle="1" w:styleId="34">
    <w:name w:val="一级条标题"/>
    <w:next w:val="1"/>
    <w:qFormat/>
    <w:uiPriority w:val="0"/>
    <w:pPr>
      <w:spacing w:beforeLines="50" w:afterLines="50"/>
      <w:jc w:val="both"/>
      <w:outlineLvl w:val="2"/>
    </w:pPr>
    <w:rPr>
      <w:rFonts w:ascii="黑体" w:eastAsia="黑体" w:hAnsiTheme="minorHAnsi" w:cstheme="minorBidi"/>
      <w:kern w:val="2"/>
      <w:sz w:val="24"/>
      <w:szCs w:val="22"/>
      <w:lang w:val="en-US" w:eastAsia="zh-CN" w:bidi="ar-SA"/>
    </w:rPr>
  </w:style>
  <w:style w:type="paragraph" w:customStyle="1" w:styleId="35">
    <w:name w:val="正文表标题"/>
    <w:next w:val="36"/>
    <w:qFormat/>
    <w:uiPriority w:val="0"/>
    <w:pPr>
      <w:numPr>
        <w:ilvl w:val="0"/>
        <w:numId w:val="2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6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37">
    <w:name w:val="contenttitl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14</Pages>
  <Words>1254</Words>
  <Characters>7148</Characters>
  <Lines>59</Lines>
  <Paragraphs>16</Paragraphs>
  <TotalTime>215</TotalTime>
  <ScaleCrop>false</ScaleCrop>
  <LinksUpToDate>false</LinksUpToDate>
  <CharactersWithSpaces>8386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2019-12-05T02:02:00Z</dcterms:created>
  <dc:creator>Zhang Yicheng</dc:creator>
  <cp:lastModifiedBy>张亦澄</cp:lastModifiedBy>
  <dcterms:modified xsi:type="dcterms:W3CDTF">2021-08-23T07:08:12Z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