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t>
      </w:r>
      <w:r w:rsidR="00A36276">
        <w:rPr>
          <w:highlight w:val="green"/>
        </w:rPr>
        <w:t>机组数量</w:t>
      </w:r>
      <w:r w:rsidR="00A36276">
        <w:rPr>
          <w:highlight w:val="green"/>
        </w:rPr>
        <w:t xml:space="preserve"> }}</w:t>
      </w:r>
      <w:r w:rsidRPr="00D3669E">
        <w:rPr>
          <w:rFonts w:hint="eastAsia"/>
        </w:rPr>
        <w:t>台单机容量为</w:t>
      </w:r>
      <w:r w:rsidR="00A36276">
        <w:rPr>
          <w:rFonts w:hint="eastAsia"/>
          <w:highlight w:val="green"/>
        </w:rPr>
        <w:t xml:space="preserve">{{ </w:t>
      </w:r>
      <w:r w:rsidR="00A36276">
        <w:rPr>
          <w:rFonts w:hint="eastAsia"/>
          <w:highlight w:val="green"/>
        </w:rPr>
        <w:t>单机容量</w:t>
      </w:r>
      <w:r w:rsidR="00A36276">
        <w:rPr>
          <w:rFonts w:hint="eastAsia"/>
          <w:highlight w:val="green"/>
        </w:rPr>
        <w:t xml:space="preserve"> }}</w:t>
      </w:r>
      <w:r w:rsidRPr="00D3669E">
        <w:rPr>
          <w:rFonts w:hint="eastAsia"/>
        </w:rPr>
        <w:t>MW</w:t>
      </w:r>
      <w:r w:rsidRPr="00D3669E">
        <w:rPr>
          <w:rFonts w:hint="eastAsia"/>
        </w:rPr>
        <w:t>的风力发电机组，规划容量为</w:t>
      </w:r>
      <w:r w:rsidR="00A36276">
        <w:rPr>
          <w:highlight w:val="green"/>
        </w:rPr>
        <w:t xml:space="preserve">{{ </w:t>
      </w:r>
      <w:r w:rsidR="00A36276">
        <w:rPr>
          <w:highlight w:val="green"/>
        </w:rPr>
        <w:t>装机容量</w:t>
      </w:r>
      <w:r w:rsidR="00A36276">
        <w:rPr>
          <w:highlight w:val="green"/>
        </w:rPr>
        <w:t xml:space="preserve"> }}</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 </w:t>
      </w:r>
      <w:r w:rsidR="00A36276">
        <w:rPr>
          <w:highlight w:val="green"/>
        </w:rPr>
        <w:t>上网电量</w:t>
      </w:r>
      <w:r w:rsidR="00A36276">
        <w:rPr>
          <w:highlight w:val="green"/>
        </w:rPr>
        <w:t xml:space="preserve"> }}</w:t>
      </w:r>
      <w:r w:rsidRPr="00D3669E">
        <w:t>MWh/yr</w:t>
      </w:r>
      <w:r w:rsidRPr="00D3669E">
        <w:t>，年满发小时为</w:t>
      </w:r>
      <w:r w:rsidR="00A36276">
        <w:rPr>
          <w:highlight w:val="green"/>
        </w:rPr>
        <w:t xml:space="preserve">{{ </w:t>
      </w:r>
      <w:r w:rsidR="00A36276">
        <w:rPr>
          <w:highlight w:val="green"/>
        </w:rPr>
        <w:t>满发小时</w:t>
      </w:r>
      <w:r w:rsidR="00A36276">
        <w:rPr>
          <w:highlight w:val="green"/>
        </w:rPr>
        <w:t xml:space="preserve"> }}</w:t>
      </w:r>
      <w:r w:rsidRPr="00D3669E">
        <w:t>h</w:t>
      </w:r>
      <w:r w:rsidRPr="00D3669E">
        <w:t>，容量系数为</w:t>
      </w:r>
      <w:r w:rsidR="00A36276">
        <w:rPr>
          <w:highlight w:val="green"/>
        </w:rPr>
        <w:t xml:space="preserve">{{ </w:t>
      </w:r>
      <w:r w:rsidR="00A36276">
        <w:rPr>
          <w:highlight w:val="green"/>
        </w:rPr>
        <w:t>容量系数</w:t>
      </w:r>
      <w:r w:rsidR="00A36276">
        <w:rPr>
          <w:highlight w:val="green"/>
        </w:rPr>
        <w:t xml:space="preserve"> }}</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 </w:t>
      </w:r>
      <w:r w:rsidR="00A36276">
        <w:rPr>
          <w:highlight w:val="green"/>
        </w:rPr>
        <w:t>装机容量</w:t>
      </w:r>
      <w:r w:rsidR="00A36276">
        <w:rPr>
          <w:highlight w:val="green"/>
        </w:rPr>
        <w:t xml:space="preserve"> }}</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 </w:t>
      </w:r>
      <w:r>
        <w:rPr>
          <w:rFonts w:hint="eastAsia"/>
          <w:highlight w:val="green"/>
        </w:rPr>
        <w:t>社会经济概况</w:t>
      </w:r>
      <w:r>
        <w:rPr>
          <w:rFonts w:hint="eastAsia"/>
          <w:highlight w:val="green"/>
        </w:rPr>
        <w:t xml:space="preserve"> }}</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 </w:t>
      </w:r>
      <w:r>
        <w:rPr>
          <w:rFonts w:hint="eastAsia"/>
          <w:highlight w:val="green"/>
        </w:rPr>
        <w:t>能源发展规划</w:t>
      </w:r>
      <w:r>
        <w:rPr>
          <w:rFonts w:hint="eastAsia"/>
          <w:highlight w:val="green"/>
        </w:rPr>
        <w:t xml:space="preserve"> }}</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 </w:t>
      </w:r>
      <w:r>
        <w:rPr>
          <w:rFonts w:hint="eastAsia"/>
          <w:highlight w:val="green"/>
        </w:rPr>
        <w:t>电力系统现状</w:t>
      </w:r>
      <w:r w:rsidR="002841AD">
        <w:rPr>
          <w:rFonts w:hint="eastAsia"/>
          <w:highlight w:val="green"/>
        </w:rPr>
        <w:t xml:space="preserve"> </w:t>
      </w:r>
      <w:bookmarkStart w:id="29" w:name="_GoBack"/>
      <w:bookmarkEnd w:id="29"/>
      <w:r>
        <w:rPr>
          <w:rFonts w:hint="eastAsia"/>
          <w:highlight w:val="green"/>
        </w:rPr>
        <w:t>}}</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 </w:t>
      </w:r>
      <w:r>
        <w:rPr>
          <w:rFonts w:hint="eastAsia"/>
          <w:highlight w:val="green"/>
        </w:rPr>
        <w:t>工程建设的必要性</w:t>
      </w:r>
      <w:r>
        <w:rPr>
          <w:rFonts w:hint="eastAsia"/>
          <w:highlight w:val="green"/>
        </w:rPr>
        <w:t xml:space="preserve"> }}</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Pr="00D3669E">
        <w:t>的风能资源状况及开发条件，结合项目公司开发规划，本</w:t>
      </w:r>
      <w:r w:rsidRPr="00D3669E">
        <w:lastRenderedPageBreak/>
        <w:t>风电场总装机容量约为</w:t>
      </w:r>
      <w:r>
        <w:rPr>
          <w:highlight w:val="green"/>
        </w:rPr>
        <w:t xml:space="preserve">{{ </w:t>
      </w:r>
      <w:r>
        <w:rPr>
          <w:highlight w:val="green"/>
        </w:rPr>
        <w:t>装机容量</w:t>
      </w:r>
      <w:r>
        <w:rPr>
          <w:highlight w:val="green"/>
        </w:rPr>
        <w:t xml:space="preserve"> }}</w:t>
      </w:r>
      <w:r w:rsidRPr="00D3669E">
        <w:t>MW</w:t>
      </w:r>
      <w:r w:rsidRPr="00D3669E">
        <w:t>，拟设计安装</w:t>
      </w:r>
      <w:r>
        <w:rPr>
          <w:highlight w:val="green"/>
        </w:rPr>
        <w:t xml:space="preserve">{{ </w:t>
      </w:r>
      <w:r>
        <w:rPr>
          <w:highlight w:val="green"/>
        </w:rPr>
        <w:t>机组数量</w:t>
      </w:r>
      <w:r>
        <w:rPr>
          <w:highlight w:val="green"/>
        </w:rPr>
        <w:t xml:space="preserve"> }}</w:t>
      </w:r>
      <w:r w:rsidRPr="00D3669E">
        <w:t>台单机容量为</w:t>
      </w:r>
      <w:r>
        <w:rPr>
          <w:rFonts w:hint="eastAsia"/>
          <w:highlight w:val="green"/>
        </w:rPr>
        <w:t xml:space="preserve">{{ </w:t>
      </w:r>
      <w:r>
        <w:rPr>
          <w:rFonts w:hint="eastAsia"/>
          <w:highlight w:val="green"/>
        </w:rPr>
        <w:t>单机容量</w:t>
      </w:r>
      <w:r>
        <w:rPr>
          <w:rFonts w:hint="eastAsia"/>
          <w:highlight w:val="green"/>
        </w:rPr>
        <w:t xml:space="preserve"> }}</w:t>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 </w:t>
      </w:r>
      <w:proofErr w:type="gramStart"/>
      <w:r w:rsidR="00A36276" w:rsidRPr="00A36276">
        <w:rPr>
          <w:rFonts w:hint="eastAsia"/>
          <w:highlight w:val="green"/>
        </w:rPr>
        <w:t>升压站</w:t>
      </w:r>
      <w:proofErr w:type="gramEnd"/>
      <w:r w:rsidR="00A36276" w:rsidRPr="00A36276">
        <w:rPr>
          <w:rFonts w:hint="eastAsia"/>
          <w:highlight w:val="green"/>
        </w:rPr>
        <w:t>建设地点</w:t>
      </w:r>
      <w:r w:rsidR="00A36276" w:rsidRPr="00A36276">
        <w:rPr>
          <w:rFonts w:hint="eastAsia"/>
          <w:highlight w:val="green"/>
        </w:rPr>
        <w:t xml:space="preserve"> }}</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