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193A"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6BCC53F9"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8F5834">
        <w:rPr>
          <w:rFonts w:hint="eastAsia"/>
          <w:highlight w:val="green"/>
        </w:rPr>
        <w:t>推荐</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t>
      </w:r>
      <w:r w:rsidR="00943729">
        <w:rPr>
          <w:rFonts w:hint="eastAsia"/>
          <w:highlight w:val="green"/>
        </w:rPr>
        <w:t>推荐</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5B4F7A">
        <w:rPr>
          <w:rFonts w:hint="eastAsia"/>
          <w:highlight w:val="green"/>
        </w:rPr>
        <w:t>推荐</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t>
      </w:r>
      <w:r w:rsidR="000B0766">
        <w:rPr>
          <w:rFonts w:hint="eastAsia"/>
          <w:highlight w:val="green"/>
        </w:rPr>
        <w:t>测风塔数目</w:t>
      </w:r>
      <w:r w:rsidR="000B0766">
        <w:rPr>
          <w:rFonts w:hint="eastAsia"/>
          <w:highlight w:val="green"/>
        </w:rPr>
        <w:t xml:space="preserve"> }}</w:t>
      </w:r>
      <w:r w:rsidRPr="00D3669E">
        <w:rPr>
          <w:rFonts w:hint="eastAsia"/>
        </w:rPr>
        <w:t>座测风塔</w:t>
      </w:r>
      <w:r w:rsidR="000B0766">
        <w:rPr>
          <w:rFonts w:hint="eastAsia"/>
          <w:highlight w:val="green"/>
        </w:rPr>
        <w:t xml:space="preserve">{{ </w:t>
      </w:r>
      <w:r w:rsidR="000B0766">
        <w:rPr>
          <w:rFonts w:hint="eastAsia"/>
          <w:highlight w:val="green"/>
        </w:rPr>
        <w:t>测风塔名字</w:t>
      </w:r>
      <w:r w:rsidR="000B0766">
        <w:rPr>
          <w:rFonts w:hint="eastAsia"/>
          <w:highlight w:val="green"/>
        </w:rPr>
        <w:t xml:space="preserve"> }}</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E26B5E">
        <w:rPr>
          <w:rFonts w:hint="eastAsia"/>
          <w:highlight w:val="green"/>
        </w:rPr>
        <w:t>风速</w:t>
      </w:r>
      <w:r w:rsidR="00171BFC">
        <w:rPr>
          <w:rFonts w:hint="eastAsia"/>
          <w:highlight w:val="green"/>
        </w:rPr>
        <w:t>信息</w:t>
      </w:r>
      <w:r w:rsidR="00171BFC">
        <w:rPr>
          <w:rFonts w:hint="eastAsia"/>
          <w:highlight w:val="green"/>
        </w:rPr>
        <w:t xml:space="preserve"> }}</w:t>
      </w:r>
      <w:r w:rsidR="00C75E58">
        <w:rPr>
          <w:rFonts w:hint="eastAsia"/>
          <w:highlight w:val="green"/>
        </w:rPr>
        <w:t xml:space="preserve">{{ </w:t>
      </w:r>
      <w:r w:rsidR="00C75E58">
        <w:rPr>
          <w:rFonts w:hint="eastAsia"/>
          <w:highlight w:val="green"/>
        </w:rPr>
        <w:t>风向信息</w:t>
      </w:r>
      <w:r w:rsidR="00C75E58">
        <w:rPr>
          <w:rFonts w:hint="eastAsia"/>
          <w:highlight w:val="green"/>
        </w:rPr>
        <w:t xml:space="preserve"> }}</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w:t>
      </w:r>
      <w:r w:rsidRPr="001F4273">
        <w:rPr>
          <w:rFonts w:ascii="Times New Roman" w:eastAsia="宋体" w:hAnsi="Times New Roman" w:cs="宋体"/>
          <w:sz w:val="24"/>
          <w:highlight w:val="green"/>
        </w:rPr>
        <w:t xml:space="preserve"> </w:t>
      </w:r>
      <w:r w:rsidRPr="001F4273">
        <w:rPr>
          <w:rFonts w:ascii="Times New Roman" w:eastAsia="宋体" w:hAnsi="Times New Roman" w:cs="宋体" w:hint="eastAsia"/>
          <w:sz w:val="24"/>
          <w:highlight w:val="green"/>
        </w:rPr>
        <w:t>结论和建议</w:t>
      </w:r>
      <w:r w:rsidRPr="001F4273">
        <w:rPr>
          <w:rFonts w:ascii="Times New Roman" w:eastAsia="宋体" w:hAnsi="Times New Roman" w:cs="宋体" w:hint="eastAsia"/>
          <w:sz w:val="24"/>
          <w:highlight w:val="green"/>
        </w:rPr>
        <w:t xml:space="preserve">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943729">
        <w:rPr>
          <w:rFonts w:hint="eastAsia"/>
          <w:highlight w:val="green"/>
        </w:rPr>
        <w:t>推荐</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943729">
        <w:rPr>
          <w:rFonts w:hint="eastAsia"/>
          <w:highlight w:val="green"/>
        </w:rPr>
        <w:t>推荐</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943729">
        <w:rPr>
          <w:rFonts w:hint="eastAsia"/>
          <w:highlight w:val="green"/>
        </w:rPr>
        <w:t>推荐</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3D7889">
        <w:rPr>
          <w:rFonts w:hint="eastAsia"/>
          <w:highlight w:val="green"/>
        </w:rPr>
        <w:t>推荐</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p>
    <w:p w14:paraId="539A063C" w14:textId="1C600288"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943729">
        <w:rPr>
          <w:rFonts w:hint="eastAsia"/>
          <w:highlight w:val="green"/>
        </w:rPr>
        <w:t>推荐</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943729">
        <w:rPr>
          <w:rFonts w:hint="eastAsia"/>
          <w:highlight w:val="green"/>
        </w:rPr>
        <w:t>推荐</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lastRenderedPageBreak/>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w:t>
      </w:r>
      <w:r w:rsidRPr="00D3669E">
        <w:lastRenderedPageBreak/>
        <w:t>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lastRenderedPageBreak/>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8F5834">
        <w:rPr>
          <w:rFonts w:eastAsiaTheme="minorEastAsia" w:hint="eastAsia"/>
          <w:highlight w:val="green"/>
        </w:rPr>
        <w:t>推荐</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8F5834">
        <w:rPr>
          <w:rFonts w:hint="eastAsia"/>
          <w:highlight w:val="green"/>
        </w:rPr>
        <w:t>推荐</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t>
            </w:r>
            <w:r w:rsidR="00F66C2B">
              <w:rPr>
                <w:rFonts w:hint="eastAsia"/>
              </w:rPr>
              <w:t>推荐</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t>
            </w:r>
            <w:r w:rsidR="00151C99">
              <w:rPr>
                <w:rFonts w:hint="eastAsia"/>
              </w:rPr>
              <w:t>推荐</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961237">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bookmarkStart w:id="94" w:name="_GoBack" w:colFirst="2" w:colLast="5"/>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961237" w:rsidRPr="00116AD1" w14:paraId="77FB1165" w14:textId="77777777" w:rsidTr="00961237">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961237" w:rsidRPr="00116AD1" w14:paraId="510C2E4A" w14:textId="77777777" w:rsidTr="00961237">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{%tc endfor %}</w:t>
            </w:r>
          </w:p>
        </w:tc>
      </w:tr>
      <w:tr w:rsidR="00961237" w:rsidRPr="00116AD1" w14:paraId="7C4359F5" w14:textId="77777777" w:rsidTr="00961237">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0C0EEEFC" w14:textId="77777777" w:rsidTr="00961237">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641C1719" w14:textId="77777777" w:rsidTr="00961237">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002C13CF" w14:textId="77777777" w:rsidTr="00961237">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0AF99464" w14:textId="77777777" w:rsidTr="00961237">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41970CA8" w14:textId="77777777" w:rsidTr="00961237">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00C617D7" w14:textId="77777777" w:rsidTr="00961237">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4249C315" w14:textId="77777777" w:rsidTr="00961237">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7359AFC7" w14:textId="77777777" w:rsidTr="00961237">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1136DBA1" w14:textId="77777777" w:rsidTr="00961237">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480B2870" w14:textId="77777777" w:rsidTr="00961237">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0DBD78B1" w14:textId="77777777" w:rsidTr="00961237">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713A3DBA" w14:textId="77777777" w:rsidTr="00961237">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961237" w:rsidRPr="00116AD1" w14:paraId="54745FA3" w14:textId="77777777" w:rsidTr="00961237">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bookmarkEnd w:id="94"/>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008F5834">
        <w:rPr>
          <w:rFonts w:ascii="Times New Roman" w:eastAsia="宋体" w:hAnsi="Times New Roman" w:hint="eastAsia"/>
          <w:sz w:val="24"/>
          <w:szCs w:val="22"/>
        </w:rPr>
        <w:t>推荐机组数量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008F5834">
        <w:rPr>
          <w:rFonts w:ascii="Times New Roman" w:eastAsia="宋体" w:hAnsi="Times New Roman" w:hint="eastAsia"/>
          <w:sz w:val="24"/>
          <w:szCs w:val="22"/>
        </w:rPr>
        <w:t>推荐</w:t>
      </w:r>
      <w:r w:rsidR="008F5834" w:rsidRPr="00116AD1">
        <w:rPr>
          <w:rFonts w:ascii="Times New Roman" w:eastAsia="宋体" w:hAnsi="Times New Roman" w:hint="eastAsia"/>
          <w:sz w:val="24"/>
          <w:szCs w:val="22"/>
          <w:lang w:val="en-GB"/>
        </w:rPr>
        <w:t>单机容量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r w:rsidR="008F5834">
        <w:rPr>
          <w:rFonts w:ascii="Times New Roman" w:eastAsia="宋体" w:hAnsi="Times New Roman" w:hint="eastAsia"/>
          <w:sz w:val="24"/>
          <w:szCs w:val="22"/>
        </w:rPr>
        <w:t>推荐机组数量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00151C99">
        <w:rPr>
          <w:rFonts w:ascii="Times New Roman" w:eastAsia="宋体" w:hAnsi="Times New Roman" w:cs="宋体" w:hint="eastAsia"/>
          <w:sz w:val="24"/>
          <w:highlight w:val="green"/>
        </w:rPr>
        <w:t>推荐</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8F5834">
        <w:rPr>
          <w:rFonts w:hint="eastAsia"/>
        </w:rPr>
        <w:t>推荐</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008F5834">
        <w:rPr>
          <w:rFonts w:ascii="Times New Roman" w:eastAsia="宋体" w:hAnsi="Times New Roman" w:cs="宋体" w:hint="eastAsia"/>
          <w:sz w:val="24"/>
        </w:rPr>
        <w:t>推荐</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008F5834">
        <w:rPr>
          <w:rFonts w:ascii="Times New Roman" w:eastAsia="宋体" w:hAnsi="Times New Roman" w:cs="宋体" w:hint="eastAsia"/>
          <w:sz w:val="24"/>
        </w:rPr>
        <w:t>推荐</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008F5834">
        <w:rPr>
          <w:rFonts w:ascii="Times New Roman" w:hAnsi="Times New Roman" w:cs="Times New Roman" w:hint="eastAsia"/>
          <w:noProof/>
          <w:sz w:val="24"/>
          <w:szCs w:val="24"/>
          <w:lang w:val="zh-CN"/>
        </w:rPr>
        <w:t>推荐</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008F5834">
              <w:rPr>
                <w:rFonts w:ascii="Times New Roman" w:eastAsia="宋体" w:hAnsi="Times New Roman" w:cs="Times New Roman" w:hint="eastAsia"/>
                <w:szCs w:val="18"/>
              </w:rPr>
              <w:t>推荐</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008F5834">
        <w:rPr>
          <w:rFonts w:cs="Times New Roman" w:hint="eastAsia"/>
          <w:noProof/>
          <w:szCs w:val="24"/>
          <w:lang w:val="zh-CN"/>
        </w:rPr>
        <w:t>推荐</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rsidR="008F5834">
        <w:rPr>
          <w:rFonts w:hint="eastAsia"/>
        </w:rPr>
        <w:t>推荐</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t>
      </w:r>
      <w:r w:rsidR="008F5834">
        <w:rPr>
          <w:rFonts w:hint="eastAsia"/>
          <w:highlight w:val="green"/>
        </w:rPr>
        <w:t>推荐</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8F5834">
        <w:rPr>
          <w:rFonts w:hint="eastAsia"/>
          <w:highlight w:val="green"/>
        </w:rPr>
        <w:t>推荐</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8F5834">
        <w:rPr>
          <w:rFonts w:hint="eastAsia"/>
          <w:highlight w:val="green"/>
        </w:rPr>
        <w:t>推荐</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t>
      </w:r>
      <w:r w:rsidR="008F5834" w:rsidRPr="008F5834">
        <w:rPr>
          <w:rFonts w:hint="eastAsia"/>
          <w:highlight w:val="green"/>
        </w:rPr>
        <w:t>推荐</w:t>
      </w:r>
      <w:r w:rsidR="00492394" w:rsidRPr="008F5834">
        <w:rPr>
          <w:highlight w:val="green"/>
        </w:rPr>
        <w:t>机组数量</w:t>
      </w:r>
      <w:r w:rsidR="00492394" w:rsidRPr="008F5834">
        <w:rPr>
          <w:highlight w:val="green"/>
        </w:rPr>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DB143" w14:textId="77777777" w:rsidR="00FC193A" w:rsidRDefault="00FC193A">
      <w:pPr>
        <w:spacing w:line="240" w:lineRule="auto"/>
      </w:pPr>
      <w:r>
        <w:separator/>
      </w:r>
    </w:p>
  </w:endnote>
  <w:endnote w:type="continuationSeparator" w:id="0">
    <w:p w14:paraId="78FAFEAB" w14:textId="77777777" w:rsidR="00FC193A" w:rsidRDefault="00FC1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695ED12C"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32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FC2F82" w:rsidRDefault="00FC193A" w:rsidP="0075614A">
        <w:pPr>
          <w:pStyle w:val="ab"/>
          <w:pBdr>
            <w:top w:val="single" w:sz="4" w:space="1" w:color="auto"/>
          </w:pBdr>
        </w:pPr>
        <w:sdt>
          <w:sdtPr>
            <w:id w:val="2081172199"/>
            <w:docPartObj>
              <w:docPartGallery w:val="Page Numbers (Bottom of Page)"/>
              <w:docPartUnique/>
            </w:docPartObj>
          </w:sdtPr>
          <w:sdtEndPr/>
          <w:sdtContent>
            <w:r w:rsidR="00FC2F82">
              <w:fldChar w:fldCharType="begin"/>
            </w:r>
            <w:r w:rsidR="00FC2F82">
              <w:instrText>PAGE   \* MERGEFORMAT</w:instrText>
            </w:r>
            <w:r w:rsidR="00FC2F82">
              <w:fldChar w:fldCharType="separate"/>
            </w:r>
            <w:r w:rsidR="00FC2F82" w:rsidRPr="002B3864">
              <w:rPr>
                <w:noProof/>
                <w:lang w:val="zh-CN"/>
              </w:rPr>
              <w:t>224</w:t>
            </w:r>
            <w:r w:rsidR="00FC2F82">
              <w:fldChar w:fldCharType="end"/>
            </w:r>
            <w:r w:rsidR="00FC2F82">
              <w:t xml:space="preserve">                                                     </w:t>
            </w:r>
            <w:r w:rsidR="00FC2F82">
              <w:rPr>
                <w:rFonts w:ascii="楷体" w:eastAsia="楷体" w:hAnsi="楷体" w:hint="eastAsia"/>
              </w:rPr>
              <w:t>深圳智润新能源电力勘测设计院有限公司</w:t>
            </w:r>
          </w:sdtContent>
        </w:sdt>
      </w:p>
      <w:p w14:paraId="00D754CC" w14:textId="77777777" w:rsidR="00FC2F82" w:rsidRDefault="00FC193A"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4CAC5B5" w:rsidR="00FC2F82" w:rsidRPr="00664E6B" w:rsidRDefault="00FC193A"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FC2F82">
              <w:rPr>
                <w:rFonts w:ascii="楷体" w:eastAsia="楷体" w:hAnsi="楷体" w:hint="eastAsia"/>
              </w:rPr>
              <w:t xml:space="preserve">深圳智润新能源电力勘测设计院有限公司  </w:t>
            </w:r>
            <w:r w:rsidR="00FC2F82">
              <w:rPr>
                <w:rFonts w:ascii="楷体" w:eastAsia="楷体" w:hAnsi="楷体"/>
              </w:rPr>
              <w:t xml:space="preserve">                                                   </w:t>
            </w:r>
            <w:r w:rsidR="00FC2F82">
              <w:fldChar w:fldCharType="begin"/>
            </w:r>
            <w:r w:rsidR="00FC2F82">
              <w:instrText>PAGE   \* MERGEFORMAT</w:instrText>
            </w:r>
            <w:r w:rsidR="00FC2F82">
              <w:fldChar w:fldCharType="separate"/>
            </w:r>
            <w:r w:rsidR="00961237" w:rsidRPr="00961237">
              <w:rPr>
                <w:noProof/>
                <w:lang w:val="zh-CN"/>
              </w:rPr>
              <w:t>122</w:t>
            </w:r>
            <w:r w:rsidR="00FC2F82">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09BA3FCC"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193A" w:rsidP="00E54360">
    <w:pPr>
      <w:pStyle w:val="ab"/>
      <w:pBdr>
        <w:top w:val="single" w:sz="4" w:space="1" w:color="auto"/>
      </w:pBdr>
    </w:pPr>
    <w:sdt>
      <w:sdtPr>
        <w:id w:val="208696642"/>
        <w:docPartObj>
          <w:docPartGallery w:val="Page Numbers (Bottom of Page)"/>
          <w:docPartUnique/>
        </w:docPartObj>
      </w:sdtPr>
      <w:sdtEndPr/>
      <w:sdtContent>
        <w:r w:rsidR="00FC2F82">
          <w:rPr>
            <w:rFonts w:ascii="楷体" w:eastAsia="楷体" w:hAnsi="楷体" w:hint="eastAsia"/>
          </w:rPr>
          <w:t xml:space="preserve">深圳智润新能源电力勘测设计院有限公司 </w:t>
        </w:r>
        <w:r w:rsidR="00FC2F82">
          <w:rPr>
            <w:rFonts w:ascii="楷体" w:eastAsia="楷体" w:hAnsi="楷体"/>
          </w:rPr>
          <w:t xml:space="preserve">                                                  </w:t>
        </w:r>
        <w:r w:rsidR="00FC2F82">
          <w:rPr>
            <w:rFonts w:ascii="楷体" w:eastAsia="楷体" w:hAnsi="楷体" w:hint="eastAsia"/>
          </w:rPr>
          <w:t xml:space="preserve"> </w:t>
        </w:r>
        <w:r w:rsidR="00FC2F82">
          <w:t>75</w:t>
        </w:r>
      </w:sdtContent>
    </w:sdt>
    <w:r w:rsidR="00FC2F8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1093D228"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450189" w:rsidRPr="00450189">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AA4CB9D"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26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E426F" w14:textId="77777777" w:rsidR="00FC193A" w:rsidRDefault="00FC193A">
      <w:pPr>
        <w:spacing w:line="240" w:lineRule="auto"/>
      </w:pPr>
      <w:r>
        <w:separator/>
      </w:r>
    </w:p>
  </w:footnote>
  <w:footnote w:type="continuationSeparator" w:id="0">
    <w:p w14:paraId="228484EE" w14:textId="77777777" w:rsidR="00FC193A" w:rsidRDefault="00FC1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018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1237"/>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193A"/>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E54B8"/>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D49F-2FCC-4377-A323-22195EEF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230</cp:revision>
  <cp:lastPrinted>2019-10-29T06:20:00Z</cp:lastPrinted>
  <dcterms:created xsi:type="dcterms:W3CDTF">2019-10-16T07:33:00Z</dcterms:created>
  <dcterms:modified xsi:type="dcterms:W3CDTF">2019-12-31T02:33:00Z</dcterms:modified>
</cp:coreProperties>
</file>