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2397" w14:textId="77777777" w:rsidR="008D4D11" w:rsidRPr="003E3765" w:rsidRDefault="00000000">
      <w:pPr>
        <w:spacing w:before="200" w:after="60"/>
        <w:jc w:val="center"/>
        <w:rPr>
          <w:rFonts w:ascii="Times New Roman" w:hAnsi="Times New Roman" w:cs="Times New Roman"/>
          <w:color w:val="auto"/>
        </w:rPr>
      </w:pPr>
      <w:r w:rsidRPr="003E3765">
        <w:rPr>
          <w:rFonts w:ascii="Times New Roman" w:hAnsi="Times New Roman" w:cs="Times New Roman"/>
          <w:b/>
          <w:color w:val="auto"/>
          <w:sz w:val="46"/>
        </w:rPr>
        <w:t>Assignment 2</w:t>
      </w:r>
    </w:p>
    <w:p w14:paraId="63B91897" w14:textId="77777777" w:rsidR="008D4D11" w:rsidRPr="003E3765" w:rsidRDefault="00000000">
      <w:pPr>
        <w:spacing w:after="80"/>
        <w:jc w:val="center"/>
        <w:rPr>
          <w:rFonts w:ascii="Times New Roman" w:hAnsi="Times New Roman" w:cs="Times New Roman"/>
          <w:color w:val="auto"/>
        </w:rPr>
      </w:pPr>
      <w:r w:rsidRPr="003E3765">
        <w:rPr>
          <w:rFonts w:ascii="Times New Roman" w:hAnsi="Times New Roman" w:cs="Times New Roman"/>
          <w:b/>
          <w:color w:val="auto"/>
          <w:sz w:val="28"/>
        </w:rPr>
        <w:t>Warehouse Robot Decision Making with Dynamic Programming and Reinforcement Learning</w:t>
      </w:r>
    </w:p>
    <w:p w14:paraId="4EF156A9" w14:textId="77777777" w:rsidR="008D4D11" w:rsidRPr="003E3765" w:rsidRDefault="00000000">
      <w:pPr>
        <w:spacing w:after="20"/>
        <w:jc w:val="center"/>
        <w:rPr>
          <w:rFonts w:ascii="Times New Roman" w:hAnsi="Times New Roman" w:cs="Times New Roman"/>
          <w:color w:val="auto"/>
        </w:rPr>
      </w:pPr>
      <w:r w:rsidRPr="003E3765">
        <w:rPr>
          <w:rFonts w:ascii="Times New Roman" w:hAnsi="Times New Roman" w:cs="Times New Roman"/>
          <w:color w:val="auto"/>
        </w:rPr>
        <w:t>CPSC-4117EL-01 Artificial Intelligence | Fall 2026</w:t>
      </w:r>
    </w:p>
    <w:p w14:paraId="1B966A43" w14:textId="77777777" w:rsidR="008D4D11" w:rsidRPr="00781AF4" w:rsidRDefault="00000000">
      <w:pPr>
        <w:spacing w:after="220"/>
        <w:jc w:val="center"/>
        <w:rPr>
          <w:rFonts w:ascii="Times New Roman" w:hAnsi="Times New Roman" w:cs="Times New Roman"/>
          <w:bCs/>
          <w:color w:val="auto"/>
        </w:rPr>
      </w:pPr>
      <w:r w:rsidRPr="00781AF4">
        <w:rPr>
          <w:rFonts w:ascii="Times New Roman" w:hAnsi="Times New Roman" w:cs="Times New Roman"/>
          <w:bCs/>
          <w:color w:val="auto"/>
        </w:rPr>
        <w:t>Group 12: Leyan Zeng (0480234), Lanhui Zhang (0465267)</w:t>
      </w:r>
    </w:p>
    <w:p w14:paraId="74775026"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t>1. Introduction</w:t>
      </w:r>
    </w:p>
    <w:p w14:paraId="204AAA68"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This assignment studies a warehouse robot operating in a 10 × 10 grid. The robot must collect a package from the pickup station, deliver it to the packing station, and return to the charging dock. Shelves block movement, while congestion zones remain traversable but carry a penalty.</w:t>
      </w:r>
    </w:p>
    <w:p w14:paraId="5AC83EE9" w14:textId="7EA961DA" w:rsidR="008D4D11" w:rsidRPr="00781AF4" w:rsidRDefault="00000000" w:rsidP="00781AF4">
      <w:pPr>
        <w:rPr>
          <w:rFonts w:ascii="Times New Roman" w:eastAsia="宋体" w:hAnsi="Times New Roman" w:cs="Times New Roman" w:hint="eastAsia"/>
          <w:color w:val="auto"/>
          <w:lang w:eastAsia="zh-CN"/>
        </w:rPr>
      </w:pPr>
      <w:r w:rsidRPr="003E3765">
        <w:rPr>
          <w:rFonts w:ascii="Times New Roman" w:hAnsi="Times New Roman" w:cs="Times New Roman"/>
          <w:color w:val="auto"/>
        </w:rPr>
        <w:t>The task is formulated as a Markov Decision Process (MDP). Value Iteration is used when the transition and reward models are known, while Q-Learning learns action values through interaction with the environment. The report follows the assignment structure: MDP formulation, the two algorithms, experiments under different motion probabilities, and a comparison of their performance.</w:t>
      </w:r>
    </w:p>
    <w:p w14:paraId="4F2268FB"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t>2. MDP Formulation</w:t>
      </w:r>
    </w:p>
    <w:p w14:paraId="76223415"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2.1 State Space and Markov Property</w:t>
      </w:r>
    </w:p>
    <w:p w14:paraId="1934EDBC"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The state is defined as (row, col, has_package, delivered, steps_remaining). The row and column identify the robot location; has_package indicates whether the package has been collected; delivered indicates whether it has reached the packing station; and steps_remaining records the number of steps left before the 120-step limit.</w:t>
      </w:r>
    </w:p>
    <w:tbl>
      <w:tblPr>
        <w:tblStyle w:val="aff1"/>
        <w:tblW w:w="0" w:type="auto"/>
        <w:jc w:val="center"/>
        <w:tblLayout w:type="fixed"/>
        <w:tblLook w:val="04A0" w:firstRow="1" w:lastRow="0" w:firstColumn="1" w:lastColumn="0" w:noHBand="0" w:noVBand="1"/>
      </w:tblPr>
      <w:tblGrid>
        <w:gridCol w:w="2880"/>
        <w:gridCol w:w="6192"/>
      </w:tblGrid>
      <w:tr w:rsidR="008D4D11" w:rsidRPr="003E3765" w14:paraId="05AA58BA" w14:textId="77777777">
        <w:trPr>
          <w:tblHeader/>
          <w:jc w:val="center"/>
        </w:trPr>
        <w:tc>
          <w:tcPr>
            <w:tcW w:w="2880" w:type="dxa"/>
            <w:shd w:val="clear" w:color="auto" w:fill="1F4E78"/>
            <w:tcMar>
              <w:top w:w="90" w:type="dxa"/>
              <w:left w:w="100" w:type="dxa"/>
              <w:bottom w:w="90" w:type="dxa"/>
              <w:right w:w="100" w:type="dxa"/>
            </w:tcMar>
            <w:vAlign w:val="center"/>
          </w:tcPr>
          <w:p w14:paraId="1E91128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State component</w:t>
            </w:r>
          </w:p>
        </w:tc>
        <w:tc>
          <w:tcPr>
            <w:tcW w:w="6192" w:type="dxa"/>
            <w:shd w:val="clear" w:color="auto" w:fill="1F4E78"/>
            <w:tcMar>
              <w:top w:w="90" w:type="dxa"/>
              <w:left w:w="100" w:type="dxa"/>
              <w:bottom w:w="90" w:type="dxa"/>
              <w:right w:w="100" w:type="dxa"/>
            </w:tcMar>
            <w:vAlign w:val="center"/>
          </w:tcPr>
          <w:p w14:paraId="3E81691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Meaning</w:t>
            </w:r>
          </w:p>
        </w:tc>
      </w:tr>
      <w:tr w:rsidR="008D4D11" w:rsidRPr="003E3765" w14:paraId="46419433" w14:textId="77777777">
        <w:trPr>
          <w:jc w:val="center"/>
        </w:trPr>
        <w:tc>
          <w:tcPr>
            <w:tcW w:w="2880" w:type="dxa"/>
            <w:shd w:val="clear" w:color="auto" w:fill="F4F7FA"/>
            <w:tcMar>
              <w:top w:w="90" w:type="dxa"/>
              <w:left w:w="100" w:type="dxa"/>
              <w:bottom w:w="90" w:type="dxa"/>
              <w:right w:w="100" w:type="dxa"/>
            </w:tcMar>
            <w:vAlign w:val="center"/>
          </w:tcPr>
          <w:p w14:paraId="731A8D37"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row, col</w:t>
            </w:r>
          </w:p>
        </w:tc>
        <w:tc>
          <w:tcPr>
            <w:tcW w:w="6192" w:type="dxa"/>
            <w:shd w:val="clear" w:color="auto" w:fill="F4F7FA"/>
            <w:tcMar>
              <w:top w:w="90" w:type="dxa"/>
              <w:left w:w="100" w:type="dxa"/>
              <w:bottom w:w="90" w:type="dxa"/>
              <w:right w:w="100" w:type="dxa"/>
            </w:tcMar>
            <w:vAlign w:val="center"/>
          </w:tcPr>
          <w:p w14:paraId="5CA8794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Robot position on a non-shelf cell.</w:t>
            </w:r>
          </w:p>
        </w:tc>
      </w:tr>
      <w:tr w:rsidR="008D4D11" w:rsidRPr="003E3765" w14:paraId="3015639B" w14:textId="77777777">
        <w:trPr>
          <w:jc w:val="center"/>
        </w:trPr>
        <w:tc>
          <w:tcPr>
            <w:tcW w:w="2880" w:type="dxa"/>
            <w:tcMar>
              <w:top w:w="90" w:type="dxa"/>
              <w:left w:w="100" w:type="dxa"/>
              <w:bottom w:w="90" w:type="dxa"/>
              <w:right w:w="100" w:type="dxa"/>
            </w:tcMar>
            <w:vAlign w:val="center"/>
          </w:tcPr>
          <w:p w14:paraId="5CDF4895"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 xml:space="preserve">has_package </w:t>
            </w:r>
            <w:r w:rsidRPr="003E3765">
              <w:rPr>
                <w:rFonts w:ascii="Cambria Math" w:hAnsi="Cambria Math" w:cs="Cambria Math"/>
                <w:color w:val="auto"/>
                <w:sz w:val="19"/>
              </w:rPr>
              <w:t>∈</w:t>
            </w:r>
            <w:r w:rsidRPr="003E3765">
              <w:rPr>
                <w:rFonts w:ascii="Times New Roman" w:hAnsi="Times New Roman" w:cs="Times New Roman"/>
                <w:color w:val="auto"/>
                <w:sz w:val="19"/>
              </w:rPr>
              <w:t xml:space="preserve"> {0, 1}</w:t>
            </w:r>
          </w:p>
        </w:tc>
        <w:tc>
          <w:tcPr>
            <w:tcW w:w="6192" w:type="dxa"/>
            <w:tcMar>
              <w:top w:w="90" w:type="dxa"/>
              <w:left w:w="100" w:type="dxa"/>
              <w:bottom w:w="90" w:type="dxa"/>
              <w:right w:w="100" w:type="dxa"/>
            </w:tcMar>
            <w:vAlign w:val="center"/>
          </w:tcPr>
          <w:p w14:paraId="7CF07715"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0 before pickup; 1 after pickup.</w:t>
            </w:r>
          </w:p>
        </w:tc>
      </w:tr>
      <w:tr w:rsidR="008D4D11" w:rsidRPr="003E3765" w14:paraId="3FD51F43" w14:textId="77777777">
        <w:trPr>
          <w:jc w:val="center"/>
        </w:trPr>
        <w:tc>
          <w:tcPr>
            <w:tcW w:w="2880" w:type="dxa"/>
            <w:shd w:val="clear" w:color="auto" w:fill="F4F7FA"/>
            <w:tcMar>
              <w:top w:w="90" w:type="dxa"/>
              <w:left w:w="100" w:type="dxa"/>
              <w:bottom w:w="90" w:type="dxa"/>
              <w:right w:w="100" w:type="dxa"/>
            </w:tcMar>
            <w:vAlign w:val="center"/>
          </w:tcPr>
          <w:p w14:paraId="3F9AF84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 xml:space="preserve">delivered </w:t>
            </w:r>
            <w:r w:rsidRPr="003E3765">
              <w:rPr>
                <w:rFonts w:ascii="Cambria Math" w:hAnsi="Cambria Math" w:cs="Cambria Math"/>
                <w:color w:val="auto"/>
                <w:sz w:val="19"/>
              </w:rPr>
              <w:t>∈</w:t>
            </w:r>
            <w:r w:rsidRPr="003E3765">
              <w:rPr>
                <w:rFonts w:ascii="Times New Roman" w:hAnsi="Times New Roman" w:cs="Times New Roman"/>
                <w:color w:val="auto"/>
                <w:sz w:val="19"/>
              </w:rPr>
              <w:t xml:space="preserve"> {0, 1}</w:t>
            </w:r>
          </w:p>
        </w:tc>
        <w:tc>
          <w:tcPr>
            <w:tcW w:w="6192" w:type="dxa"/>
            <w:shd w:val="clear" w:color="auto" w:fill="F4F7FA"/>
            <w:tcMar>
              <w:top w:w="90" w:type="dxa"/>
              <w:left w:w="100" w:type="dxa"/>
              <w:bottom w:w="90" w:type="dxa"/>
              <w:right w:w="100" w:type="dxa"/>
            </w:tcMar>
            <w:vAlign w:val="center"/>
          </w:tcPr>
          <w:p w14:paraId="37332311"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0 before delivery; 1 after delivery.</w:t>
            </w:r>
          </w:p>
        </w:tc>
      </w:tr>
      <w:tr w:rsidR="008D4D11" w:rsidRPr="003E3765" w14:paraId="113F52D7" w14:textId="77777777">
        <w:trPr>
          <w:jc w:val="center"/>
        </w:trPr>
        <w:tc>
          <w:tcPr>
            <w:tcW w:w="2880" w:type="dxa"/>
            <w:tcMar>
              <w:top w:w="90" w:type="dxa"/>
              <w:left w:w="100" w:type="dxa"/>
              <w:bottom w:w="90" w:type="dxa"/>
              <w:right w:w="100" w:type="dxa"/>
            </w:tcMar>
            <w:vAlign w:val="center"/>
          </w:tcPr>
          <w:p w14:paraId="6E1D303E"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 xml:space="preserve">steps_remaining </w:t>
            </w:r>
            <w:r w:rsidRPr="003E3765">
              <w:rPr>
                <w:rFonts w:ascii="Cambria Math" w:hAnsi="Cambria Math" w:cs="Cambria Math"/>
                <w:color w:val="auto"/>
                <w:sz w:val="19"/>
              </w:rPr>
              <w:t>∈</w:t>
            </w:r>
            <w:r w:rsidRPr="003E3765">
              <w:rPr>
                <w:rFonts w:ascii="Times New Roman" w:hAnsi="Times New Roman" w:cs="Times New Roman"/>
                <w:color w:val="auto"/>
                <w:sz w:val="19"/>
              </w:rPr>
              <w:t xml:space="preserve"> {0, …, 120}</w:t>
            </w:r>
          </w:p>
        </w:tc>
        <w:tc>
          <w:tcPr>
            <w:tcW w:w="6192" w:type="dxa"/>
            <w:tcMar>
              <w:top w:w="90" w:type="dxa"/>
              <w:left w:w="100" w:type="dxa"/>
              <w:bottom w:w="90" w:type="dxa"/>
              <w:right w:w="100" w:type="dxa"/>
            </w:tcMar>
            <w:vAlign w:val="center"/>
          </w:tcPr>
          <w:p w14:paraId="70D0B1BB"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Remaining steps before the maximum-step terminal condition.</w:t>
            </w:r>
          </w:p>
        </w:tc>
      </w:tr>
    </w:tbl>
    <w:p w14:paraId="4559B7FB" w14:textId="77777777" w:rsidR="008D4D11" w:rsidRPr="003E3765" w:rsidRDefault="008D4D11">
      <w:pPr>
        <w:spacing w:after="20"/>
        <w:rPr>
          <w:rFonts w:ascii="Times New Roman" w:hAnsi="Times New Roman" w:cs="Times New Roman"/>
          <w:color w:val="auto"/>
        </w:rPr>
      </w:pPr>
    </w:p>
    <w:p w14:paraId="1DF3E2AA"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The task-progress combinations used are (0, 0), (1, 0), and (1, 1). The combination (0, 1) is not valid because delivery cannot occur before pickup.</w:t>
      </w:r>
    </w:p>
    <w:p w14:paraId="304B5C5D"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Robot position alone is not sufficient. For example, at the packing station the delivery reward is available only if the robot is carrying the package, and the return reward is available only after delivery. Two visits to the same cell can therefore have different outcomes depending on task progress. The package flags preserve this information. Including the remaining-step count also represents the maximum-step terminal condition. With these variables, the next-state distribution and reward depend on the current state and action rather than on the full history.</w:t>
      </w:r>
    </w:p>
    <w:p w14:paraId="562335FF"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2.2 Action Space and Transition Model</w:t>
      </w:r>
    </w:p>
    <w:p w14:paraId="1FDB6C27"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The action space is A = {up, down, left, right}. In the baseline setting, the intended direction occurs with probability 0.8 and each perpendicular direction occurs with probability 0.1. For example, when the robot chooses up, it moves up with probability 0.8, left with probability 0.1, and right with probability 0.1. If a movement would enter a shelf or leave the grid, the robot stays in its current cell and receives the invalid-move penalty in addition to the step penalty. Congestion cells are traversable but incur a penalty.</w:t>
      </w:r>
    </w:p>
    <w:p w14:paraId="3FD0D8F4"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lastRenderedPageBreak/>
        <w:t>2.3 Reward Model</w:t>
      </w:r>
    </w:p>
    <w:tbl>
      <w:tblPr>
        <w:tblStyle w:val="aff1"/>
        <w:tblW w:w="0" w:type="auto"/>
        <w:jc w:val="center"/>
        <w:tblLayout w:type="fixed"/>
        <w:tblLook w:val="04A0" w:firstRow="1" w:lastRow="0" w:firstColumn="1" w:lastColumn="0" w:noHBand="0" w:noVBand="1"/>
      </w:tblPr>
      <w:tblGrid>
        <w:gridCol w:w="6912"/>
        <w:gridCol w:w="2160"/>
      </w:tblGrid>
      <w:tr w:rsidR="008D4D11" w:rsidRPr="003E3765" w14:paraId="741568A9" w14:textId="77777777">
        <w:trPr>
          <w:tblHeader/>
          <w:jc w:val="center"/>
        </w:trPr>
        <w:tc>
          <w:tcPr>
            <w:tcW w:w="6912" w:type="dxa"/>
            <w:shd w:val="clear" w:color="auto" w:fill="1F4E78"/>
            <w:tcMar>
              <w:top w:w="90" w:type="dxa"/>
              <w:left w:w="100" w:type="dxa"/>
              <w:bottom w:w="90" w:type="dxa"/>
              <w:right w:w="100" w:type="dxa"/>
            </w:tcMar>
            <w:vAlign w:val="center"/>
          </w:tcPr>
          <w:p w14:paraId="4A1FD8B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Event</w:t>
            </w:r>
          </w:p>
        </w:tc>
        <w:tc>
          <w:tcPr>
            <w:tcW w:w="2160" w:type="dxa"/>
            <w:shd w:val="clear" w:color="auto" w:fill="1F4E78"/>
            <w:tcMar>
              <w:top w:w="90" w:type="dxa"/>
              <w:left w:w="100" w:type="dxa"/>
              <w:bottom w:w="90" w:type="dxa"/>
              <w:right w:w="100" w:type="dxa"/>
            </w:tcMar>
            <w:vAlign w:val="center"/>
          </w:tcPr>
          <w:p w14:paraId="42CAAB2B"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Reward</w:t>
            </w:r>
          </w:p>
        </w:tc>
      </w:tr>
      <w:tr w:rsidR="008D4D11" w:rsidRPr="003E3765" w14:paraId="4DE4BADB" w14:textId="77777777">
        <w:trPr>
          <w:jc w:val="center"/>
        </w:trPr>
        <w:tc>
          <w:tcPr>
            <w:tcW w:w="6912" w:type="dxa"/>
            <w:shd w:val="clear" w:color="auto" w:fill="F4F7FA"/>
            <w:tcMar>
              <w:top w:w="90" w:type="dxa"/>
              <w:left w:w="100" w:type="dxa"/>
              <w:bottom w:w="90" w:type="dxa"/>
              <w:right w:w="100" w:type="dxa"/>
            </w:tcMar>
            <w:vAlign w:val="center"/>
          </w:tcPr>
          <w:p w14:paraId="745D05A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Pick up the package</w:t>
            </w:r>
          </w:p>
        </w:tc>
        <w:tc>
          <w:tcPr>
            <w:tcW w:w="2160" w:type="dxa"/>
            <w:shd w:val="clear" w:color="auto" w:fill="F4F7FA"/>
            <w:tcMar>
              <w:top w:w="90" w:type="dxa"/>
              <w:left w:w="100" w:type="dxa"/>
              <w:bottom w:w="90" w:type="dxa"/>
              <w:right w:w="100" w:type="dxa"/>
            </w:tcMar>
            <w:vAlign w:val="center"/>
          </w:tcPr>
          <w:p w14:paraId="2FAE544C"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+25</w:t>
            </w:r>
          </w:p>
        </w:tc>
      </w:tr>
      <w:tr w:rsidR="008D4D11" w:rsidRPr="003E3765" w14:paraId="46544901" w14:textId="77777777">
        <w:trPr>
          <w:jc w:val="center"/>
        </w:trPr>
        <w:tc>
          <w:tcPr>
            <w:tcW w:w="6912" w:type="dxa"/>
            <w:tcMar>
              <w:top w:w="90" w:type="dxa"/>
              <w:left w:w="100" w:type="dxa"/>
              <w:bottom w:w="90" w:type="dxa"/>
              <w:right w:w="100" w:type="dxa"/>
            </w:tcMar>
            <w:vAlign w:val="center"/>
          </w:tcPr>
          <w:p w14:paraId="5AE135D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Deliver the package at the packing station while carrying it</w:t>
            </w:r>
          </w:p>
        </w:tc>
        <w:tc>
          <w:tcPr>
            <w:tcW w:w="2160" w:type="dxa"/>
            <w:tcMar>
              <w:top w:w="90" w:type="dxa"/>
              <w:left w:w="100" w:type="dxa"/>
              <w:bottom w:w="90" w:type="dxa"/>
              <w:right w:w="100" w:type="dxa"/>
            </w:tcMar>
            <w:vAlign w:val="center"/>
          </w:tcPr>
          <w:p w14:paraId="0CDAF0CB"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+40</w:t>
            </w:r>
          </w:p>
        </w:tc>
      </w:tr>
      <w:tr w:rsidR="008D4D11" w:rsidRPr="003E3765" w14:paraId="79F44EE1" w14:textId="77777777">
        <w:trPr>
          <w:jc w:val="center"/>
        </w:trPr>
        <w:tc>
          <w:tcPr>
            <w:tcW w:w="6912" w:type="dxa"/>
            <w:shd w:val="clear" w:color="auto" w:fill="F4F7FA"/>
            <w:tcMar>
              <w:top w:w="90" w:type="dxa"/>
              <w:left w:w="100" w:type="dxa"/>
              <w:bottom w:w="90" w:type="dxa"/>
              <w:right w:w="100" w:type="dxa"/>
            </w:tcMar>
            <w:vAlign w:val="center"/>
          </w:tcPr>
          <w:p w14:paraId="2A817A1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Return to the charging dock after delivery</w:t>
            </w:r>
          </w:p>
        </w:tc>
        <w:tc>
          <w:tcPr>
            <w:tcW w:w="2160" w:type="dxa"/>
            <w:shd w:val="clear" w:color="auto" w:fill="F4F7FA"/>
            <w:tcMar>
              <w:top w:w="90" w:type="dxa"/>
              <w:left w:w="100" w:type="dxa"/>
              <w:bottom w:w="90" w:type="dxa"/>
              <w:right w:w="100" w:type="dxa"/>
            </w:tcMar>
            <w:vAlign w:val="center"/>
          </w:tcPr>
          <w:p w14:paraId="443680B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+100</w:t>
            </w:r>
          </w:p>
        </w:tc>
      </w:tr>
      <w:tr w:rsidR="008D4D11" w:rsidRPr="003E3765" w14:paraId="374FC7FE" w14:textId="77777777">
        <w:trPr>
          <w:jc w:val="center"/>
        </w:trPr>
        <w:tc>
          <w:tcPr>
            <w:tcW w:w="6912" w:type="dxa"/>
            <w:tcMar>
              <w:top w:w="90" w:type="dxa"/>
              <w:left w:w="100" w:type="dxa"/>
              <w:bottom w:w="90" w:type="dxa"/>
              <w:right w:w="100" w:type="dxa"/>
            </w:tcMar>
            <w:vAlign w:val="center"/>
          </w:tcPr>
          <w:p w14:paraId="2C83179C"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Enter a congestion zone</w:t>
            </w:r>
          </w:p>
        </w:tc>
        <w:tc>
          <w:tcPr>
            <w:tcW w:w="2160" w:type="dxa"/>
            <w:tcMar>
              <w:top w:w="90" w:type="dxa"/>
              <w:left w:w="100" w:type="dxa"/>
              <w:bottom w:w="90" w:type="dxa"/>
              <w:right w:w="100" w:type="dxa"/>
            </w:tcMar>
            <w:vAlign w:val="center"/>
          </w:tcPr>
          <w:p w14:paraId="3C2D778A"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−10</w:t>
            </w:r>
          </w:p>
        </w:tc>
      </w:tr>
      <w:tr w:rsidR="008D4D11" w:rsidRPr="003E3765" w14:paraId="7742900C" w14:textId="77777777">
        <w:trPr>
          <w:jc w:val="center"/>
        </w:trPr>
        <w:tc>
          <w:tcPr>
            <w:tcW w:w="6912" w:type="dxa"/>
            <w:shd w:val="clear" w:color="auto" w:fill="F4F7FA"/>
            <w:tcMar>
              <w:top w:w="90" w:type="dxa"/>
              <w:left w:w="100" w:type="dxa"/>
              <w:bottom w:w="90" w:type="dxa"/>
              <w:right w:w="100" w:type="dxa"/>
            </w:tcMar>
            <w:vAlign w:val="center"/>
          </w:tcPr>
          <w:p w14:paraId="0AB8337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Each time step</w:t>
            </w:r>
          </w:p>
        </w:tc>
        <w:tc>
          <w:tcPr>
            <w:tcW w:w="2160" w:type="dxa"/>
            <w:shd w:val="clear" w:color="auto" w:fill="F4F7FA"/>
            <w:tcMar>
              <w:top w:w="90" w:type="dxa"/>
              <w:left w:w="100" w:type="dxa"/>
              <w:bottom w:w="90" w:type="dxa"/>
              <w:right w:w="100" w:type="dxa"/>
            </w:tcMar>
            <w:vAlign w:val="center"/>
          </w:tcPr>
          <w:p w14:paraId="579B2E0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−1</w:t>
            </w:r>
          </w:p>
        </w:tc>
      </w:tr>
      <w:tr w:rsidR="008D4D11" w:rsidRPr="003E3765" w14:paraId="4ED86CA7" w14:textId="77777777">
        <w:trPr>
          <w:jc w:val="center"/>
        </w:trPr>
        <w:tc>
          <w:tcPr>
            <w:tcW w:w="6912" w:type="dxa"/>
            <w:tcMar>
              <w:top w:w="90" w:type="dxa"/>
              <w:left w:w="100" w:type="dxa"/>
              <w:bottom w:w="90" w:type="dxa"/>
              <w:right w:w="100" w:type="dxa"/>
            </w:tcMar>
            <w:vAlign w:val="center"/>
          </w:tcPr>
          <w:p w14:paraId="4F9D08B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Attempt to move into a shelf or outside the grid</w:t>
            </w:r>
          </w:p>
        </w:tc>
        <w:tc>
          <w:tcPr>
            <w:tcW w:w="2160" w:type="dxa"/>
            <w:tcMar>
              <w:top w:w="90" w:type="dxa"/>
              <w:left w:w="100" w:type="dxa"/>
              <w:bottom w:w="90" w:type="dxa"/>
              <w:right w:w="100" w:type="dxa"/>
            </w:tcMar>
            <w:vAlign w:val="center"/>
          </w:tcPr>
          <w:p w14:paraId="5663D46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−3 additional penalty</w:t>
            </w:r>
          </w:p>
        </w:tc>
      </w:tr>
    </w:tbl>
    <w:p w14:paraId="5FCD1876" w14:textId="77777777" w:rsidR="008D4D11" w:rsidRPr="003E3765" w:rsidRDefault="008D4D11">
      <w:pPr>
        <w:spacing w:after="20"/>
        <w:rPr>
          <w:rFonts w:ascii="Times New Roman" w:hAnsi="Times New Roman" w:cs="Times New Roman"/>
          <w:color w:val="auto"/>
        </w:rPr>
      </w:pPr>
    </w:p>
    <w:p w14:paraId="5A303FE1"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The reward is transition-based and additive: the ordinary step penalty applies on each move, and event-specific rewards or penalties are added when the corresponding event occurs, consistent with the supplied environment implementation.</w:t>
      </w:r>
    </w:p>
    <w:p w14:paraId="080F92DA"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2.4 Discount Factor and Terminal Conditions</w:t>
      </w:r>
    </w:p>
    <w:p w14:paraId="58816F30"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The discount factor is γ = 0.95. An episode terminates when the robot has delivered the package and returns to the charging dock, or when steps_remaining reaches zero. A terminal state has no future value. The supplied grid layout is fixed with random seed 42 for the reported experiments; the pickup station is at (2, 2), the packing station at (0, 4), and the charging dock at (6, 0).</w:t>
      </w:r>
    </w:p>
    <w:p w14:paraId="789374E7"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t>3. Part 1: Value Iteration</w:t>
      </w:r>
    </w:p>
    <w:p w14:paraId="4BF8B468"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3.1 Algorithm and Implementation</w:t>
      </w:r>
    </w:p>
    <w:p w14:paraId="1F2DE89A"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Value Iteration estimates the best expected discounted return for each state. Starting with V₀(s) = 0, the implementation repeatedly applies the Bellman optimality update:</w:t>
      </w:r>
    </w:p>
    <w:p w14:paraId="3F412839" w14:textId="77777777" w:rsidR="008D4D11" w:rsidRPr="003E3765" w:rsidRDefault="00000000">
      <w:pPr>
        <w:spacing w:before="40" w:after="120"/>
        <w:jc w:val="center"/>
        <w:rPr>
          <w:rFonts w:ascii="Times New Roman" w:hAnsi="Times New Roman" w:cs="Times New Roman"/>
          <w:color w:val="auto"/>
        </w:rPr>
      </w:pPr>
      <w:r w:rsidRPr="003E3765">
        <w:rPr>
          <w:rFonts w:ascii="Times New Roman" w:hAnsi="Times New Roman" w:cs="Times New Roman"/>
          <w:b/>
          <w:color w:val="auto"/>
          <w:sz w:val="23"/>
        </w:rPr>
        <w:t>Vₖ₊₁(s) = maxₐ Σₛ′ P(s′ | s, a) [R(s, a, s′) + γVₖ(s′)]</w:t>
      </w:r>
    </w:p>
    <w:p w14:paraId="41B0E919"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Here, s includes the remaining-step count, and each transition reduces that count by one. The transition probabilities and reward function are known to the algorithm. The implementation updates the value of each valid state until the maximum absolute change between two successive value tables is less than θ = 10⁻⁶. The greedy policy is then extracted by selecting the action with the highest expected value under the resulting value function.</w:t>
      </w:r>
    </w:p>
    <w:p w14:paraId="3AEB4E7B"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3.2 Implementation Settings and Convergence</w:t>
      </w:r>
    </w:p>
    <w:tbl>
      <w:tblPr>
        <w:tblStyle w:val="aff1"/>
        <w:tblW w:w="0" w:type="auto"/>
        <w:jc w:val="center"/>
        <w:tblLayout w:type="fixed"/>
        <w:tblLook w:val="04A0" w:firstRow="1" w:lastRow="0" w:firstColumn="1" w:lastColumn="0" w:noHBand="0" w:noVBand="1"/>
      </w:tblPr>
      <w:tblGrid>
        <w:gridCol w:w="5040"/>
        <w:gridCol w:w="4032"/>
      </w:tblGrid>
      <w:tr w:rsidR="008D4D11" w:rsidRPr="003E3765" w14:paraId="378B0E2C" w14:textId="77777777">
        <w:trPr>
          <w:tblHeader/>
          <w:jc w:val="center"/>
        </w:trPr>
        <w:tc>
          <w:tcPr>
            <w:tcW w:w="5040" w:type="dxa"/>
            <w:shd w:val="clear" w:color="auto" w:fill="1F4E78"/>
            <w:tcMar>
              <w:top w:w="90" w:type="dxa"/>
              <w:left w:w="100" w:type="dxa"/>
              <w:bottom w:w="90" w:type="dxa"/>
              <w:right w:w="100" w:type="dxa"/>
            </w:tcMar>
            <w:vAlign w:val="center"/>
          </w:tcPr>
          <w:p w14:paraId="702E9BD3"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Parameter</w:t>
            </w:r>
          </w:p>
        </w:tc>
        <w:tc>
          <w:tcPr>
            <w:tcW w:w="4032" w:type="dxa"/>
            <w:shd w:val="clear" w:color="auto" w:fill="1F4E78"/>
            <w:tcMar>
              <w:top w:w="90" w:type="dxa"/>
              <w:left w:w="100" w:type="dxa"/>
              <w:bottom w:w="90" w:type="dxa"/>
              <w:right w:w="100" w:type="dxa"/>
            </w:tcMar>
            <w:vAlign w:val="center"/>
          </w:tcPr>
          <w:p w14:paraId="471CD102"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Setting</w:t>
            </w:r>
          </w:p>
        </w:tc>
      </w:tr>
      <w:tr w:rsidR="008D4D11" w:rsidRPr="003E3765" w14:paraId="123A56E9" w14:textId="77777777">
        <w:trPr>
          <w:jc w:val="center"/>
        </w:trPr>
        <w:tc>
          <w:tcPr>
            <w:tcW w:w="5040" w:type="dxa"/>
            <w:shd w:val="clear" w:color="auto" w:fill="F4F7FA"/>
            <w:tcMar>
              <w:top w:w="90" w:type="dxa"/>
              <w:left w:w="100" w:type="dxa"/>
              <w:bottom w:w="90" w:type="dxa"/>
              <w:right w:w="100" w:type="dxa"/>
            </w:tcMar>
            <w:vAlign w:val="center"/>
          </w:tcPr>
          <w:p w14:paraId="6CAB7CA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Layout seed</w:t>
            </w:r>
          </w:p>
        </w:tc>
        <w:tc>
          <w:tcPr>
            <w:tcW w:w="4032" w:type="dxa"/>
            <w:shd w:val="clear" w:color="auto" w:fill="F4F7FA"/>
            <w:tcMar>
              <w:top w:w="90" w:type="dxa"/>
              <w:left w:w="100" w:type="dxa"/>
              <w:bottom w:w="90" w:type="dxa"/>
              <w:right w:w="100" w:type="dxa"/>
            </w:tcMar>
            <w:vAlign w:val="center"/>
          </w:tcPr>
          <w:p w14:paraId="09DA2E99"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42</w:t>
            </w:r>
          </w:p>
        </w:tc>
      </w:tr>
      <w:tr w:rsidR="008D4D11" w:rsidRPr="003E3765" w14:paraId="3419067D" w14:textId="77777777">
        <w:trPr>
          <w:jc w:val="center"/>
        </w:trPr>
        <w:tc>
          <w:tcPr>
            <w:tcW w:w="5040" w:type="dxa"/>
            <w:tcMar>
              <w:top w:w="90" w:type="dxa"/>
              <w:left w:w="100" w:type="dxa"/>
              <w:bottom w:w="90" w:type="dxa"/>
              <w:right w:w="100" w:type="dxa"/>
            </w:tcMar>
            <w:vAlign w:val="center"/>
          </w:tcPr>
          <w:p w14:paraId="6324EC61"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Maximum episode length</w:t>
            </w:r>
          </w:p>
        </w:tc>
        <w:tc>
          <w:tcPr>
            <w:tcW w:w="4032" w:type="dxa"/>
            <w:tcMar>
              <w:top w:w="90" w:type="dxa"/>
              <w:left w:w="100" w:type="dxa"/>
              <w:bottom w:w="90" w:type="dxa"/>
              <w:right w:w="100" w:type="dxa"/>
            </w:tcMar>
            <w:vAlign w:val="center"/>
          </w:tcPr>
          <w:p w14:paraId="1A8D26DF"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120 steps</w:t>
            </w:r>
          </w:p>
        </w:tc>
      </w:tr>
      <w:tr w:rsidR="008D4D11" w:rsidRPr="003E3765" w14:paraId="12E33868" w14:textId="77777777">
        <w:trPr>
          <w:jc w:val="center"/>
        </w:trPr>
        <w:tc>
          <w:tcPr>
            <w:tcW w:w="5040" w:type="dxa"/>
            <w:shd w:val="clear" w:color="auto" w:fill="F4F7FA"/>
            <w:tcMar>
              <w:top w:w="90" w:type="dxa"/>
              <w:left w:w="100" w:type="dxa"/>
              <w:bottom w:w="90" w:type="dxa"/>
              <w:right w:w="100" w:type="dxa"/>
            </w:tcMar>
            <w:vAlign w:val="center"/>
          </w:tcPr>
          <w:p w14:paraId="3F1ABC35"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Discount factor (γ)</w:t>
            </w:r>
          </w:p>
        </w:tc>
        <w:tc>
          <w:tcPr>
            <w:tcW w:w="4032" w:type="dxa"/>
            <w:shd w:val="clear" w:color="auto" w:fill="F4F7FA"/>
            <w:tcMar>
              <w:top w:w="90" w:type="dxa"/>
              <w:left w:w="100" w:type="dxa"/>
              <w:bottom w:w="90" w:type="dxa"/>
              <w:right w:w="100" w:type="dxa"/>
            </w:tcMar>
            <w:vAlign w:val="center"/>
          </w:tcPr>
          <w:p w14:paraId="7FB30C13"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0.95</w:t>
            </w:r>
          </w:p>
        </w:tc>
      </w:tr>
      <w:tr w:rsidR="008D4D11" w:rsidRPr="003E3765" w14:paraId="3EBF8FF1" w14:textId="77777777">
        <w:trPr>
          <w:jc w:val="center"/>
        </w:trPr>
        <w:tc>
          <w:tcPr>
            <w:tcW w:w="5040" w:type="dxa"/>
            <w:tcMar>
              <w:top w:w="90" w:type="dxa"/>
              <w:left w:w="100" w:type="dxa"/>
              <w:bottom w:w="90" w:type="dxa"/>
              <w:right w:w="100" w:type="dxa"/>
            </w:tcMar>
            <w:vAlign w:val="center"/>
          </w:tcPr>
          <w:p w14:paraId="31F798DE"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Convergence threshold (θ)</w:t>
            </w:r>
          </w:p>
        </w:tc>
        <w:tc>
          <w:tcPr>
            <w:tcW w:w="4032" w:type="dxa"/>
            <w:tcMar>
              <w:top w:w="90" w:type="dxa"/>
              <w:left w:w="100" w:type="dxa"/>
              <w:bottom w:w="90" w:type="dxa"/>
              <w:right w:w="100" w:type="dxa"/>
            </w:tcMar>
            <w:vAlign w:val="center"/>
          </w:tcPr>
          <w:p w14:paraId="02B04123"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0.000001</w:t>
            </w:r>
          </w:p>
        </w:tc>
      </w:tr>
    </w:tbl>
    <w:p w14:paraId="5601DB2E" w14:textId="77777777" w:rsidR="008D4D11" w:rsidRPr="003E3765" w:rsidRDefault="008D4D11">
      <w:pPr>
        <w:spacing w:after="20"/>
        <w:rPr>
          <w:rFonts w:ascii="Times New Roman" w:hAnsi="Times New Roman" w:cs="Times New Roman"/>
          <w:color w:val="auto"/>
        </w:rPr>
      </w:pPr>
    </w:p>
    <w:p w14:paraId="20426142"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Value Iteration is model-based. For every state and action, it calculates the expected return over possible next states and therefore requires both the transition probabilities P(s′ | s, a) and the reward model R(s, a, s′). Unlike Q-Learning, it does not learn these probabilities from trial-and-error interaction. The supplied environment performs deterministic steps, so this implementation uses its grid and reward definitions while explicitly calculating the stochastic outcomes required by the assignment.</w:t>
      </w:r>
    </w:p>
    <w:p w14:paraId="2D99E9E2"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lastRenderedPageBreak/>
        <w:t>3.3 Policy Visualization and Results at p = 0.80</w:t>
      </w:r>
    </w:p>
    <w:p w14:paraId="04AE52D4"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For the required p = 0.80 setting, Value Iteration converged after 73 iterations with γ = 0.95 and θ = 10⁻⁶. Figure 1 shows three policy slices for the task-progress phases: before pickup, while carrying the package, and after delivery. The displayed actions are for states with 120 steps remaining; because the remaining-step count is part of the state, the preferred action may differ at shorter horizons.</w:t>
      </w:r>
    </w:p>
    <w:tbl>
      <w:tblPr>
        <w:tblStyle w:val="aff1"/>
        <w:tblW w:w="0" w:type="auto"/>
        <w:jc w:val="center"/>
        <w:tblLayout w:type="fixed"/>
        <w:tblLook w:val="04A0" w:firstRow="1" w:lastRow="0" w:firstColumn="1" w:lastColumn="0" w:noHBand="0" w:noVBand="1"/>
      </w:tblPr>
      <w:tblGrid>
        <w:gridCol w:w="3168"/>
        <w:gridCol w:w="2592"/>
        <w:gridCol w:w="1152"/>
        <w:gridCol w:w="2160"/>
      </w:tblGrid>
      <w:tr w:rsidR="008D4D11" w:rsidRPr="003E3765" w14:paraId="6DE9B3BF" w14:textId="77777777">
        <w:trPr>
          <w:tblHeader/>
          <w:jc w:val="center"/>
        </w:trPr>
        <w:tc>
          <w:tcPr>
            <w:tcW w:w="3168" w:type="dxa"/>
            <w:shd w:val="clear" w:color="auto" w:fill="1F4E78"/>
            <w:tcMar>
              <w:top w:w="90" w:type="dxa"/>
              <w:left w:w="100" w:type="dxa"/>
              <w:bottom w:w="90" w:type="dxa"/>
              <w:right w:w="100" w:type="dxa"/>
            </w:tcMar>
            <w:vAlign w:val="center"/>
          </w:tcPr>
          <w:p w14:paraId="2EAC4CAF"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Intended-action probability</w:t>
            </w:r>
          </w:p>
        </w:tc>
        <w:tc>
          <w:tcPr>
            <w:tcW w:w="2592" w:type="dxa"/>
            <w:shd w:val="clear" w:color="auto" w:fill="1F4E78"/>
            <w:tcMar>
              <w:top w:w="90" w:type="dxa"/>
              <w:left w:w="100" w:type="dxa"/>
              <w:bottom w:w="90" w:type="dxa"/>
              <w:right w:w="100" w:type="dxa"/>
            </w:tcMar>
            <w:vAlign w:val="center"/>
          </w:tcPr>
          <w:p w14:paraId="23069BDC"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Convergence iterations</w:t>
            </w:r>
          </w:p>
        </w:tc>
        <w:tc>
          <w:tcPr>
            <w:tcW w:w="1152" w:type="dxa"/>
            <w:shd w:val="clear" w:color="auto" w:fill="1F4E78"/>
            <w:tcMar>
              <w:top w:w="90" w:type="dxa"/>
              <w:left w:w="100" w:type="dxa"/>
              <w:bottom w:w="90" w:type="dxa"/>
              <w:right w:w="100" w:type="dxa"/>
            </w:tcMar>
            <w:vAlign w:val="center"/>
          </w:tcPr>
          <w:p w14:paraId="4F9608EF"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γ</w:t>
            </w:r>
          </w:p>
        </w:tc>
        <w:tc>
          <w:tcPr>
            <w:tcW w:w="2160" w:type="dxa"/>
            <w:shd w:val="clear" w:color="auto" w:fill="1F4E78"/>
            <w:tcMar>
              <w:top w:w="90" w:type="dxa"/>
              <w:left w:w="100" w:type="dxa"/>
              <w:bottom w:w="90" w:type="dxa"/>
              <w:right w:w="100" w:type="dxa"/>
            </w:tcMar>
            <w:vAlign w:val="center"/>
          </w:tcPr>
          <w:p w14:paraId="49E193A3"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9"/>
              </w:rPr>
              <w:t>θ</w:t>
            </w:r>
          </w:p>
        </w:tc>
      </w:tr>
      <w:tr w:rsidR="008D4D11" w:rsidRPr="003E3765" w14:paraId="1AFCDD43" w14:textId="77777777">
        <w:trPr>
          <w:jc w:val="center"/>
        </w:trPr>
        <w:tc>
          <w:tcPr>
            <w:tcW w:w="3168" w:type="dxa"/>
            <w:shd w:val="clear" w:color="auto" w:fill="F4F7FA"/>
            <w:tcMar>
              <w:top w:w="90" w:type="dxa"/>
              <w:left w:w="100" w:type="dxa"/>
              <w:bottom w:w="90" w:type="dxa"/>
              <w:right w:w="100" w:type="dxa"/>
            </w:tcMar>
            <w:vAlign w:val="center"/>
          </w:tcPr>
          <w:p w14:paraId="39A196EE"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p = 0.80</w:t>
            </w:r>
          </w:p>
        </w:tc>
        <w:tc>
          <w:tcPr>
            <w:tcW w:w="2592" w:type="dxa"/>
            <w:shd w:val="clear" w:color="auto" w:fill="F4F7FA"/>
            <w:tcMar>
              <w:top w:w="90" w:type="dxa"/>
              <w:left w:w="100" w:type="dxa"/>
              <w:bottom w:w="90" w:type="dxa"/>
              <w:right w:w="100" w:type="dxa"/>
            </w:tcMar>
            <w:vAlign w:val="center"/>
          </w:tcPr>
          <w:p w14:paraId="0727FBB6"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73</w:t>
            </w:r>
          </w:p>
        </w:tc>
        <w:tc>
          <w:tcPr>
            <w:tcW w:w="1152" w:type="dxa"/>
            <w:shd w:val="clear" w:color="auto" w:fill="F4F7FA"/>
            <w:tcMar>
              <w:top w:w="90" w:type="dxa"/>
              <w:left w:w="100" w:type="dxa"/>
              <w:bottom w:w="90" w:type="dxa"/>
              <w:right w:w="100" w:type="dxa"/>
            </w:tcMar>
            <w:vAlign w:val="center"/>
          </w:tcPr>
          <w:p w14:paraId="23F02107"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0.95</w:t>
            </w:r>
          </w:p>
        </w:tc>
        <w:tc>
          <w:tcPr>
            <w:tcW w:w="2160" w:type="dxa"/>
            <w:shd w:val="clear" w:color="auto" w:fill="F4F7FA"/>
            <w:tcMar>
              <w:top w:w="90" w:type="dxa"/>
              <w:left w:w="100" w:type="dxa"/>
              <w:bottom w:w="90" w:type="dxa"/>
              <w:right w:w="100" w:type="dxa"/>
            </w:tcMar>
            <w:vAlign w:val="center"/>
          </w:tcPr>
          <w:p w14:paraId="4E2FCDF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9"/>
              </w:rPr>
              <w:t>1 × 10⁻⁶</w:t>
            </w:r>
          </w:p>
        </w:tc>
      </w:tr>
    </w:tbl>
    <w:p w14:paraId="71C12216" w14:textId="77777777" w:rsidR="008D4D11" w:rsidRPr="003E3765" w:rsidRDefault="008D4D11">
      <w:pPr>
        <w:spacing w:after="20"/>
        <w:rPr>
          <w:rFonts w:ascii="Times New Roman" w:hAnsi="Times New Roman" w:cs="Times New Roman"/>
          <w:color w:val="auto"/>
        </w:rPr>
      </w:pPr>
    </w:p>
    <w:p w14:paraId="1945A287" w14:textId="4D1F1E77" w:rsidR="008D4D11" w:rsidRPr="003E3765" w:rsidRDefault="002B09EC">
      <w:pPr>
        <w:keepLines/>
        <w:spacing w:before="40" w:after="40"/>
        <w:jc w:val="center"/>
        <w:rPr>
          <w:rFonts w:ascii="Times New Roman" w:hAnsi="Times New Roman" w:cs="Times New Roman"/>
          <w:color w:val="auto"/>
        </w:rPr>
      </w:pPr>
      <w:r w:rsidRPr="002B09EC">
        <w:rPr>
          <w:rFonts w:ascii="Times New Roman" w:hAnsi="Times New Roman" w:cs="Times New Roman"/>
          <w:noProof/>
          <w:color w:val="auto"/>
        </w:rPr>
        <w:drawing>
          <wp:inline distT="0" distB="0" distL="0" distR="0" wp14:anchorId="476A38E6" wp14:editId="6CC585C3">
            <wp:extent cx="6346190" cy="2289810"/>
            <wp:effectExtent l="0" t="0" r="0" b="0"/>
            <wp:docPr id="775339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6190" cy="2289810"/>
                    </a:xfrm>
                    <a:prstGeom prst="rect">
                      <a:avLst/>
                    </a:prstGeom>
                    <a:noFill/>
                    <a:ln>
                      <a:noFill/>
                    </a:ln>
                  </pic:spPr>
                </pic:pic>
              </a:graphicData>
            </a:graphic>
          </wp:inline>
        </w:drawing>
      </w:r>
    </w:p>
    <w:p w14:paraId="1F78C453" w14:textId="77777777" w:rsidR="008D4D11" w:rsidRPr="003E3765" w:rsidRDefault="00000000">
      <w:pPr>
        <w:pStyle w:val="af7"/>
        <w:jc w:val="center"/>
        <w:rPr>
          <w:rFonts w:ascii="Times New Roman" w:hAnsi="Times New Roman" w:cs="Times New Roman"/>
          <w:color w:val="auto"/>
        </w:rPr>
      </w:pPr>
      <w:r w:rsidRPr="003E3765">
        <w:rPr>
          <w:rFonts w:ascii="Times New Roman" w:hAnsi="Times New Roman" w:cs="Times New Roman"/>
          <w:color w:val="auto"/>
        </w:rPr>
        <w:t>Figure 1. Value Iteration policy at p = 0.80, shown for three task-progress phases at a fixed 120-step horizon. # indicates a shelf, ! a congestion cell, P the pickup station, D the packing station, and C the charging dock.</w:t>
      </w:r>
    </w:p>
    <w:p w14:paraId="77106F3A"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t>4. Part 2: Q-Learning</w:t>
      </w:r>
    </w:p>
    <w:p w14:paraId="4C88046C"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4.1 Algorithm and Implementation</w:t>
      </w:r>
    </w:p>
    <w:tbl>
      <w:tblPr>
        <w:tblW w:w="0" w:type="auto"/>
        <w:jc w:val="center"/>
        <w:tblLayout w:type="fixed"/>
        <w:tblLook w:val="04A0" w:firstRow="1" w:lastRow="0" w:firstColumn="1" w:lastColumn="0" w:noHBand="0" w:noVBand="1"/>
      </w:tblPr>
      <w:tblGrid>
        <w:gridCol w:w="9994"/>
      </w:tblGrid>
      <w:tr w:rsidR="008D4D11" w:rsidRPr="003E3765" w14:paraId="4291497D"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191E82EC"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Add the Q-Learning method, Q-table state-action representation, update equation, epsilon-greedy exploration, and exploration-rate decay.</w:t>
            </w:r>
          </w:p>
        </w:tc>
      </w:tr>
    </w:tbl>
    <w:p w14:paraId="5ABD0B43" w14:textId="77777777" w:rsidR="008D4D11" w:rsidRPr="003E3765" w:rsidRDefault="008D4D11">
      <w:pPr>
        <w:spacing w:after="20"/>
        <w:rPr>
          <w:rFonts w:ascii="Times New Roman" w:hAnsi="Times New Roman" w:cs="Times New Roman"/>
          <w:color w:val="auto"/>
        </w:rPr>
      </w:pPr>
    </w:p>
    <w:p w14:paraId="2165F4CA"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4.2 Hyperparameter Configurations and Random Seeds</w:t>
      </w:r>
    </w:p>
    <w:tbl>
      <w:tblPr>
        <w:tblW w:w="0" w:type="auto"/>
        <w:jc w:val="center"/>
        <w:tblLayout w:type="fixed"/>
        <w:tblLook w:val="04A0" w:firstRow="1" w:lastRow="0" w:firstColumn="1" w:lastColumn="0" w:noHBand="0" w:noVBand="1"/>
      </w:tblPr>
      <w:tblGrid>
        <w:gridCol w:w="9994"/>
      </w:tblGrid>
      <w:tr w:rsidR="008D4D11" w:rsidRPr="003E3765" w14:paraId="6782164B"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5F6CAEF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Report at least two meaningful hyperparameter configurations and list the random seeds used for training and evaluation.</w:t>
            </w:r>
          </w:p>
        </w:tc>
      </w:tr>
    </w:tbl>
    <w:p w14:paraId="049E3B27" w14:textId="77777777" w:rsidR="008D4D11" w:rsidRPr="003E3765" w:rsidRDefault="008D4D11">
      <w:pPr>
        <w:spacing w:after="20"/>
        <w:rPr>
          <w:rFonts w:ascii="Times New Roman" w:hAnsi="Times New Roman" w:cs="Times New Roman"/>
          <w:color w:val="auto"/>
        </w:rPr>
      </w:pPr>
    </w:p>
    <w:p w14:paraId="454FFCF7"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4.3 Training Results and Convergence</w:t>
      </w:r>
    </w:p>
    <w:tbl>
      <w:tblPr>
        <w:tblW w:w="0" w:type="auto"/>
        <w:jc w:val="center"/>
        <w:tblLayout w:type="fixed"/>
        <w:tblLook w:val="04A0" w:firstRow="1" w:lastRow="0" w:firstColumn="1" w:lastColumn="0" w:noHBand="0" w:noVBand="1"/>
      </w:tblPr>
      <w:tblGrid>
        <w:gridCol w:w="9994"/>
      </w:tblGrid>
      <w:tr w:rsidR="008D4D11" w:rsidRPr="003E3765" w14:paraId="624DFC09"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28A8799B"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Insert the cumulative-reward-versus-episode plot, task-success results, and a brief discussion of approximate convergence and robustness across seeds.</w:t>
            </w:r>
          </w:p>
        </w:tc>
      </w:tr>
    </w:tbl>
    <w:p w14:paraId="64CABF1B" w14:textId="77777777" w:rsidR="008D4D11" w:rsidRPr="003E3765" w:rsidRDefault="008D4D11">
      <w:pPr>
        <w:spacing w:after="20"/>
        <w:rPr>
          <w:rFonts w:ascii="Times New Roman" w:hAnsi="Times New Roman" w:cs="Times New Roman"/>
          <w:color w:val="auto"/>
        </w:rPr>
      </w:pPr>
    </w:p>
    <w:p w14:paraId="511266D8"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4.4 Greedy Policy and Evaluation</w:t>
      </w:r>
    </w:p>
    <w:tbl>
      <w:tblPr>
        <w:tblW w:w="0" w:type="auto"/>
        <w:jc w:val="center"/>
        <w:tblLayout w:type="fixed"/>
        <w:tblLook w:val="04A0" w:firstRow="1" w:lastRow="0" w:firstColumn="1" w:lastColumn="0" w:noHBand="0" w:noVBand="1"/>
      </w:tblPr>
      <w:tblGrid>
        <w:gridCol w:w="9994"/>
      </w:tblGrid>
      <w:tr w:rsidR="008D4D11" w:rsidRPr="003E3765" w14:paraId="0784D727"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4A0045DC"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Insert the learned policy visualization and summarize one evaluation run with exploration disabled.</w:t>
            </w:r>
          </w:p>
        </w:tc>
      </w:tr>
    </w:tbl>
    <w:p w14:paraId="0E3E9890" w14:textId="77777777" w:rsidR="008D4D11" w:rsidRPr="003E3765" w:rsidRDefault="008D4D11">
      <w:pPr>
        <w:spacing w:after="20"/>
        <w:rPr>
          <w:rFonts w:ascii="Times New Roman" w:hAnsi="Times New Roman" w:cs="Times New Roman"/>
          <w:color w:val="auto"/>
        </w:rPr>
      </w:pPr>
    </w:p>
    <w:p w14:paraId="126F71EE"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lastRenderedPageBreak/>
        <w:t>5. Part 3: Stochastic Environment Experiments</w:t>
      </w:r>
    </w:p>
    <w:p w14:paraId="587271FB"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5.1 Experimental Setup</w:t>
      </w:r>
    </w:p>
    <w:p w14:paraId="398B7EB4"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To investigate motion uncertainty, the intended-action probability was set to p = 1.00, 0.90, and 0.80. The remaining probability was split equally between the two perpendicular directions. The same layout (seed 42), reward definitions, discount factor, and convergence threshold were used across the three settings. Each Value Iteration policy was evaluated over 500 episodes using different episode random seeds.</w:t>
      </w:r>
    </w:p>
    <w:p w14:paraId="37889509"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5.2 Value Iteration Results under Different Motion Probabilities</w:t>
      </w:r>
    </w:p>
    <w:tbl>
      <w:tblPr>
        <w:tblStyle w:val="aff1"/>
        <w:tblW w:w="0" w:type="auto"/>
        <w:jc w:val="center"/>
        <w:tblLayout w:type="fixed"/>
        <w:tblLook w:val="04A0" w:firstRow="1" w:lastRow="0" w:firstColumn="1" w:lastColumn="0" w:noHBand="0" w:noVBand="1"/>
      </w:tblPr>
      <w:tblGrid>
        <w:gridCol w:w="1008"/>
        <w:gridCol w:w="1440"/>
        <w:gridCol w:w="2880"/>
        <w:gridCol w:w="1440"/>
        <w:gridCol w:w="2160"/>
      </w:tblGrid>
      <w:tr w:rsidR="008D4D11" w:rsidRPr="003E3765" w14:paraId="47C9C63A" w14:textId="77777777">
        <w:trPr>
          <w:tblHeader/>
          <w:jc w:val="center"/>
        </w:trPr>
        <w:tc>
          <w:tcPr>
            <w:tcW w:w="1008" w:type="dxa"/>
            <w:shd w:val="clear" w:color="auto" w:fill="1F4E78"/>
            <w:tcMar>
              <w:top w:w="90" w:type="dxa"/>
              <w:left w:w="100" w:type="dxa"/>
              <w:bottom w:w="90" w:type="dxa"/>
              <w:right w:w="100" w:type="dxa"/>
            </w:tcMar>
            <w:vAlign w:val="center"/>
          </w:tcPr>
          <w:p w14:paraId="0DCA455A"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p</w:t>
            </w:r>
          </w:p>
        </w:tc>
        <w:tc>
          <w:tcPr>
            <w:tcW w:w="1440" w:type="dxa"/>
            <w:shd w:val="clear" w:color="auto" w:fill="1F4E78"/>
            <w:tcMar>
              <w:top w:w="90" w:type="dxa"/>
              <w:left w:w="100" w:type="dxa"/>
              <w:bottom w:w="90" w:type="dxa"/>
              <w:right w:w="100" w:type="dxa"/>
            </w:tcMar>
            <w:vAlign w:val="center"/>
          </w:tcPr>
          <w:p w14:paraId="23D34153"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Iterations</w:t>
            </w:r>
          </w:p>
        </w:tc>
        <w:tc>
          <w:tcPr>
            <w:tcW w:w="2880" w:type="dxa"/>
            <w:shd w:val="clear" w:color="auto" w:fill="1F4E78"/>
            <w:tcMar>
              <w:top w:w="90" w:type="dxa"/>
              <w:left w:w="100" w:type="dxa"/>
              <w:bottom w:w="90" w:type="dxa"/>
              <w:right w:w="100" w:type="dxa"/>
            </w:tcMar>
            <w:vAlign w:val="center"/>
          </w:tcPr>
          <w:p w14:paraId="7A7DC665"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Average cumulative reward</w:t>
            </w:r>
          </w:p>
        </w:tc>
        <w:tc>
          <w:tcPr>
            <w:tcW w:w="1440" w:type="dxa"/>
            <w:shd w:val="clear" w:color="auto" w:fill="1F4E78"/>
            <w:tcMar>
              <w:top w:w="90" w:type="dxa"/>
              <w:left w:w="100" w:type="dxa"/>
              <w:bottom w:w="90" w:type="dxa"/>
              <w:right w:w="100" w:type="dxa"/>
            </w:tcMar>
            <w:vAlign w:val="center"/>
          </w:tcPr>
          <w:p w14:paraId="4631083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Success rate</w:t>
            </w:r>
          </w:p>
        </w:tc>
        <w:tc>
          <w:tcPr>
            <w:tcW w:w="2160" w:type="dxa"/>
            <w:shd w:val="clear" w:color="auto" w:fill="1F4E78"/>
            <w:tcMar>
              <w:top w:w="90" w:type="dxa"/>
              <w:left w:w="100" w:type="dxa"/>
              <w:bottom w:w="90" w:type="dxa"/>
              <w:right w:w="100" w:type="dxa"/>
            </w:tcMar>
            <w:vAlign w:val="center"/>
          </w:tcPr>
          <w:p w14:paraId="621481F0"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Average steps</w:t>
            </w:r>
          </w:p>
        </w:tc>
      </w:tr>
      <w:tr w:rsidR="008D4D11" w:rsidRPr="003E3765" w14:paraId="54BC28D1" w14:textId="77777777">
        <w:trPr>
          <w:jc w:val="center"/>
        </w:trPr>
        <w:tc>
          <w:tcPr>
            <w:tcW w:w="1008" w:type="dxa"/>
            <w:shd w:val="clear" w:color="auto" w:fill="F4F7FA"/>
            <w:tcMar>
              <w:top w:w="90" w:type="dxa"/>
              <w:left w:w="100" w:type="dxa"/>
              <w:bottom w:w="90" w:type="dxa"/>
              <w:right w:w="100" w:type="dxa"/>
            </w:tcMar>
            <w:vAlign w:val="center"/>
          </w:tcPr>
          <w:p w14:paraId="22C68A72"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1.00</w:t>
            </w:r>
          </w:p>
        </w:tc>
        <w:tc>
          <w:tcPr>
            <w:tcW w:w="1440" w:type="dxa"/>
            <w:shd w:val="clear" w:color="auto" w:fill="F4F7FA"/>
            <w:tcMar>
              <w:top w:w="90" w:type="dxa"/>
              <w:left w:w="100" w:type="dxa"/>
              <w:bottom w:w="90" w:type="dxa"/>
              <w:right w:w="100" w:type="dxa"/>
            </w:tcMar>
            <w:vAlign w:val="center"/>
          </w:tcPr>
          <w:p w14:paraId="35B9F60E"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31</w:t>
            </w:r>
          </w:p>
        </w:tc>
        <w:tc>
          <w:tcPr>
            <w:tcW w:w="2880" w:type="dxa"/>
            <w:shd w:val="clear" w:color="auto" w:fill="F4F7FA"/>
            <w:tcMar>
              <w:top w:w="90" w:type="dxa"/>
              <w:left w:w="100" w:type="dxa"/>
              <w:bottom w:w="90" w:type="dxa"/>
              <w:right w:w="100" w:type="dxa"/>
            </w:tcMar>
            <w:vAlign w:val="center"/>
          </w:tcPr>
          <w:p w14:paraId="3A214B3B"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143.00</w:t>
            </w:r>
          </w:p>
        </w:tc>
        <w:tc>
          <w:tcPr>
            <w:tcW w:w="1440" w:type="dxa"/>
            <w:shd w:val="clear" w:color="auto" w:fill="F4F7FA"/>
            <w:tcMar>
              <w:top w:w="90" w:type="dxa"/>
              <w:left w:w="100" w:type="dxa"/>
              <w:bottom w:w="90" w:type="dxa"/>
              <w:right w:w="100" w:type="dxa"/>
            </w:tcMar>
            <w:vAlign w:val="center"/>
          </w:tcPr>
          <w:p w14:paraId="2A4FEF9A"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100%</w:t>
            </w:r>
          </w:p>
        </w:tc>
        <w:tc>
          <w:tcPr>
            <w:tcW w:w="2160" w:type="dxa"/>
            <w:shd w:val="clear" w:color="auto" w:fill="F4F7FA"/>
            <w:tcMar>
              <w:top w:w="90" w:type="dxa"/>
              <w:left w:w="100" w:type="dxa"/>
              <w:bottom w:w="90" w:type="dxa"/>
              <w:right w:w="100" w:type="dxa"/>
            </w:tcMar>
            <w:vAlign w:val="center"/>
          </w:tcPr>
          <w:p w14:paraId="57A7A04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22.00</w:t>
            </w:r>
          </w:p>
        </w:tc>
      </w:tr>
      <w:tr w:rsidR="008D4D11" w:rsidRPr="003E3765" w14:paraId="241DDC45" w14:textId="77777777">
        <w:trPr>
          <w:jc w:val="center"/>
        </w:trPr>
        <w:tc>
          <w:tcPr>
            <w:tcW w:w="1008" w:type="dxa"/>
            <w:tcMar>
              <w:top w:w="90" w:type="dxa"/>
              <w:left w:w="100" w:type="dxa"/>
              <w:bottom w:w="90" w:type="dxa"/>
              <w:right w:w="100" w:type="dxa"/>
            </w:tcMar>
            <w:vAlign w:val="center"/>
          </w:tcPr>
          <w:p w14:paraId="5176CB2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0.90</w:t>
            </w:r>
          </w:p>
        </w:tc>
        <w:tc>
          <w:tcPr>
            <w:tcW w:w="1440" w:type="dxa"/>
            <w:tcMar>
              <w:top w:w="90" w:type="dxa"/>
              <w:left w:w="100" w:type="dxa"/>
              <w:bottom w:w="90" w:type="dxa"/>
              <w:right w:w="100" w:type="dxa"/>
            </w:tcMar>
            <w:vAlign w:val="center"/>
          </w:tcPr>
          <w:p w14:paraId="555C0F86"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57</w:t>
            </w:r>
          </w:p>
        </w:tc>
        <w:tc>
          <w:tcPr>
            <w:tcW w:w="2880" w:type="dxa"/>
            <w:tcMar>
              <w:top w:w="90" w:type="dxa"/>
              <w:left w:w="100" w:type="dxa"/>
              <w:bottom w:w="90" w:type="dxa"/>
              <w:right w:w="100" w:type="dxa"/>
            </w:tcMar>
            <w:vAlign w:val="center"/>
          </w:tcPr>
          <w:p w14:paraId="47CC73A7"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132.37</w:t>
            </w:r>
          </w:p>
        </w:tc>
        <w:tc>
          <w:tcPr>
            <w:tcW w:w="1440" w:type="dxa"/>
            <w:tcMar>
              <w:top w:w="90" w:type="dxa"/>
              <w:left w:w="100" w:type="dxa"/>
              <w:bottom w:w="90" w:type="dxa"/>
              <w:right w:w="100" w:type="dxa"/>
            </w:tcMar>
            <w:vAlign w:val="center"/>
          </w:tcPr>
          <w:p w14:paraId="097D9DB2"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100%</w:t>
            </w:r>
          </w:p>
        </w:tc>
        <w:tc>
          <w:tcPr>
            <w:tcW w:w="2160" w:type="dxa"/>
            <w:tcMar>
              <w:top w:w="90" w:type="dxa"/>
              <w:left w:w="100" w:type="dxa"/>
              <w:bottom w:w="90" w:type="dxa"/>
              <w:right w:w="100" w:type="dxa"/>
            </w:tcMar>
            <w:vAlign w:val="center"/>
          </w:tcPr>
          <w:p w14:paraId="331768D7"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25.30</w:t>
            </w:r>
          </w:p>
        </w:tc>
      </w:tr>
      <w:tr w:rsidR="008D4D11" w:rsidRPr="003E3765" w14:paraId="5C559F8E" w14:textId="77777777">
        <w:trPr>
          <w:jc w:val="center"/>
        </w:trPr>
        <w:tc>
          <w:tcPr>
            <w:tcW w:w="1008" w:type="dxa"/>
            <w:shd w:val="clear" w:color="auto" w:fill="F4F7FA"/>
            <w:tcMar>
              <w:top w:w="90" w:type="dxa"/>
              <w:left w:w="100" w:type="dxa"/>
              <w:bottom w:w="90" w:type="dxa"/>
              <w:right w:w="100" w:type="dxa"/>
            </w:tcMar>
            <w:vAlign w:val="center"/>
          </w:tcPr>
          <w:p w14:paraId="2898069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0.80</w:t>
            </w:r>
          </w:p>
        </w:tc>
        <w:tc>
          <w:tcPr>
            <w:tcW w:w="1440" w:type="dxa"/>
            <w:shd w:val="clear" w:color="auto" w:fill="F4F7FA"/>
            <w:tcMar>
              <w:top w:w="90" w:type="dxa"/>
              <w:left w:w="100" w:type="dxa"/>
              <w:bottom w:w="90" w:type="dxa"/>
              <w:right w:w="100" w:type="dxa"/>
            </w:tcMar>
            <w:vAlign w:val="center"/>
          </w:tcPr>
          <w:p w14:paraId="6B41287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73</w:t>
            </w:r>
          </w:p>
        </w:tc>
        <w:tc>
          <w:tcPr>
            <w:tcW w:w="2880" w:type="dxa"/>
            <w:shd w:val="clear" w:color="auto" w:fill="F4F7FA"/>
            <w:tcMar>
              <w:top w:w="90" w:type="dxa"/>
              <w:left w:w="100" w:type="dxa"/>
              <w:bottom w:w="90" w:type="dxa"/>
              <w:right w:w="100" w:type="dxa"/>
            </w:tcMar>
            <w:vAlign w:val="center"/>
          </w:tcPr>
          <w:p w14:paraId="3DBB439D"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118.08</w:t>
            </w:r>
          </w:p>
        </w:tc>
        <w:tc>
          <w:tcPr>
            <w:tcW w:w="1440" w:type="dxa"/>
            <w:shd w:val="clear" w:color="auto" w:fill="F4F7FA"/>
            <w:tcMar>
              <w:top w:w="90" w:type="dxa"/>
              <w:left w:w="100" w:type="dxa"/>
              <w:bottom w:w="90" w:type="dxa"/>
              <w:right w:w="100" w:type="dxa"/>
            </w:tcMar>
            <w:vAlign w:val="center"/>
          </w:tcPr>
          <w:p w14:paraId="541DAFC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100%</w:t>
            </w:r>
          </w:p>
        </w:tc>
        <w:tc>
          <w:tcPr>
            <w:tcW w:w="2160" w:type="dxa"/>
            <w:shd w:val="clear" w:color="auto" w:fill="F4F7FA"/>
            <w:tcMar>
              <w:top w:w="90" w:type="dxa"/>
              <w:left w:w="100" w:type="dxa"/>
              <w:bottom w:w="90" w:type="dxa"/>
              <w:right w:w="100" w:type="dxa"/>
            </w:tcMar>
            <w:vAlign w:val="center"/>
          </w:tcPr>
          <w:p w14:paraId="11ED6C0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29.47</w:t>
            </w:r>
          </w:p>
        </w:tc>
      </w:tr>
    </w:tbl>
    <w:p w14:paraId="5BD6FD13" w14:textId="77777777" w:rsidR="008D4D11" w:rsidRPr="003E3765" w:rsidRDefault="008D4D11">
      <w:pPr>
        <w:spacing w:after="20"/>
        <w:rPr>
          <w:rFonts w:ascii="Times New Roman" w:hAnsi="Times New Roman" w:cs="Times New Roman"/>
          <w:color w:val="auto"/>
        </w:rPr>
      </w:pPr>
    </w:p>
    <w:p w14:paraId="61B7B0B8"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The average cumulative reward decreased as motion became less reliable, while the average number of steps increased. This indicates that unintended moves made task completion less efficient in the tested layout. All 500 evaluation episodes succeeded in each setting on this fixed layout; this result should not be interpreted as a guarantee for every possible layout.</w:t>
      </w:r>
    </w:p>
    <w:p w14:paraId="5F03757C"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5.3 Q-Learning Results under Different Motion Probabilities</w:t>
      </w:r>
    </w:p>
    <w:tbl>
      <w:tblPr>
        <w:tblW w:w="0" w:type="auto"/>
        <w:jc w:val="center"/>
        <w:tblLayout w:type="fixed"/>
        <w:tblLook w:val="04A0" w:firstRow="1" w:lastRow="0" w:firstColumn="1" w:lastColumn="0" w:noHBand="0" w:noVBand="1"/>
      </w:tblPr>
      <w:tblGrid>
        <w:gridCol w:w="9994"/>
      </w:tblGrid>
      <w:tr w:rsidR="008D4D11" w:rsidRPr="003E3765" w14:paraId="11816F17"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22BEEC71"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Add Q-Learning results under p = 1.00, 0.90, and 0.80. Use the same evaluation metrics as in Section 5.2 so the results can be compared directly.</w:t>
            </w:r>
          </w:p>
        </w:tc>
      </w:tr>
    </w:tbl>
    <w:p w14:paraId="2D8F7623" w14:textId="77777777" w:rsidR="008D4D11" w:rsidRPr="003E3765" w:rsidRDefault="008D4D11">
      <w:pPr>
        <w:spacing w:after="20"/>
        <w:rPr>
          <w:rFonts w:ascii="Times New Roman" w:hAnsi="Times New Roman" w:cs="Times New Roman"/>
          <w:color w:val="auto"/>
        </w:rPr>
      </w:pPr>
    </w:p>
    <w:p w14:paraId="73B3D9B4"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5.4 Comparative Performance under Different Probabilities</w:t>
      </w:r>
    </w:p>
    <w:tbl>
      <w:tblPr>
        <w:tblW w:w="0" w:type="auto"/>
        <w:jc w:val="center"/>
        <w:tblLayout w:type="fixed"/>
        <w:tblLook w:val="04A0" w:firstRow="1" w:lastRow="0" w:firstColumn="1" w:lastColumn="0" w:noHBand="0" w:noVBand="1"/>
      </w:tblPr>
      <w:tblGrid>
        <w:gridCol w:w="9994"/>
      </w:tblGrid>
      <w:tr w:rsidR="008D4D11" w:rsidRPr="003E3765" w14:paraId="6D34B888"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55B3C90C"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Once Q-Learning results are available, add a compact table comparing both algorithms at each probability using average cumulative reward, success rate, convergence behaviour, and policy outcome.</w:t>
            </w:r>
          </w:p>
        </w:tc>
      </w:tr>
    </w:tbl>
    <w:p w14:paraId="1A983E2F" w14:textId="77777777" w:rsidR="008D4D11" w:rsidRPr="003E3765" w:rsidRDefault="008D4D11">
      <w:pPr>
        <w:spacing w:after="20"/>
        <w:rPr>
          <w:rFonts w:ascii="Times New Roman" w:hAnsi="Times New Roman" w:cs="Times New Roman"/>
          <w:color w:val="auto"/>
        </w:rPr>
      </w:pPr>
    </w:p>
    <w:p w14:paraId="5D963F74"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5.5 Policy Visualization and Motion Uncertainty</w:t>
      </w:r>
    </w:p>
    <w:p w14:paraId="680D2FB0" w14:textId="77777777" w:rsidR="008D4D11" w:rsidRPr="003E3765" w:rsidRDefault="00000000">
      <w:pPr>
        <w:pStyle w:val="31"/>
        <w:rPr>
          <w:rFonts w:ascii="Times New Roman" w:hAnsi="Times New Roman" w:cs="Times New Roman"/>
          <w:color w:val="auto"/>
        </w:rPr>
      </w:pPr>
      <w:r w:rsidRPr="003E3765">
        <w:rPr>
          <w:rFonts w:ascii="Times New Roman" w:hAnsi="Times New Roman" w:cs="Times New Roman"/>
          <w:color w:val="auto"/>
        </w:rPr>
        <w:t>5.5.1 Policy Visualization</w:t>
      </w:r>
    </w:p>
    <w:p w14:paraId="5CEB5804"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Figure 1 presents the p = 0.80 policy. Figures 2 and 3 show the corresponding policy slices for p = 0.90 and p = 1.00, using the same station layout and the same three task-progress phases.</w:t>
      </w:r>
    </w:p>
    <w:p w14:paraId="4B9C6C91" w14:textId="7EA494C0" w:rsidR="008D4D11" w:rsidRPr="003E3765" w:rsidRDefault="001E21AD">
      <w:pPr>
        <w:keepLines/>
        <w:spacing w:before="40" w:after="40"/>
        <w:jc w:val="center"/>
        <w:rPr>
          <w:rFonts w:ascii="Times New Roman" w:hAnsi="Times New Roman" w:cs="Times New Roman"/>
          <w:color w:val="auto"/>
        </w:rPr>
      </w:pPr>
      <w:r w:rsidRPr="001E21AD">
        <w:rPr>
          <w:rFonts w:ascii="Times New Roman" w:hAnsi="Times New Roman" w:cs="Times New Roman"/>
          <w:noProof/>
          <w:color w:val="auto"/>
        </w:rPr>
        <w:drawing>
          <wp:inline distT="0" distB="0" distL="0" distR="0" wp14:anchorId="3076A5E5" wp14:editId="762F3CE5">
            <wp:extent cx="6346190" cy="2289810"/>
            <wp:effectExtent l="0" t="0" r="0" b="0"/>
            <wp:docPr id="11718907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6190" cy="2289810"/>
                    </a:xfrm>
                    <a:prstGeom prst="rect">
                      <a:avLst/>
                    </a:prstGeom>
                    <a:noFill/>
                    <a:ln>
                      <a:noFill/>
                    </a:ln>
                  </pic:spPr>
                </pic:pic>
              </a:graphicData>
            </a:graphic>
          </wp:inline>
        </w:drawing>
      </w:r>
    </w:p>
    <w:p w14:paraId="4AFDCBB8" w14:textId="77777777" w:rsidR="008D4D11" w:rsidRPr="003E3765" w:rsidRDefault="00000000">
      <w:pPr>
        <w:pStyle w:val="af7"/>
        <w:jc w:val="center"/>
        <w:rPr>
          <w:rFonts w:ascii="Times New Roman" w:hAnsi="Times New Roman" w:cs="Times New Roman"/>
          <w:color w:val="auto"/>
        </w:rPr>
      </w:pPr>
      <w:r w:rsidRPr="003E3765">
        <w:rPr>
          <w:rFonts w:ascii="Times New Roman" w:hAnsi="Times New Roman" w:cs="Times New Roman"/>
          <w:color w:val="auto"/>
        </w:rPr>
        <w:lastRenderedPageBreak/>
        <w:t>Figure 2. Value Iteration policy at p = 0.90 for the three task-progress phases; the station layout is unchanged.</w:t>
      </w:r>
    </w:p>
    <w:p w14:paraId="057D31E8" w14:textId="4473E8B2" w:rsidR="008D4D11" w:rsidRPr="003E3765" w:rsidRDefault="006C5B99">
      <w:pPr>
        <w:keepLines/>
        <w:spacing w:before="40" w:after="40"/>
        <w:jc w:val="center"/>
        <w:rPr>
          <w:rFonts w:ascii="Times New Roman" w:hAnsi="Times New Roman" w:cs="Times New Roman"/>
          <w:color w:val="auto"/>
        </w:rPr>
      </w:pPr>
      <w:r w:rsidRPr="006C5B99">
        <w:rPr>
          <w:rFonts w:ascii="Times New Roman" w:hAnsi="Times New Roman" w:cs="Times New Roman"/>
          <w:noProof/>
          <w:color w:val="auto"/>
        </w:rPr>
        <w:drawing>
          <wp:inline distT="0" distB="0" distL="0" distR="0" wp14:anchorId="130C7D81" wp14:editId="1EF692A6">
            <wp:extent cx="6346190" cy="2289810"/>
            <wp:effectExtent l="0" t="0" r="0" b="0"/>
            <wp:docPr id="10176696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6190" cy="2289810"/>
                    </a:xfrm>
                    <a:prstGeom prst="rect">
                      <a:avLst/>
                    </a:prstGeom>
                    <a:noFill/>
                    <a:ln>
                      <a:noFill/>
                    </a:ln>
                  </pic:spPr>
                </pic:pic>
              </a:graphicData>
            </a:graphic>
          </wp:inline>
        </w:drawing>
      </w:r>
    </w:p>
    <w:p w14:paraId="2EF03F83" w14:textId="77777777" w:rsidR="008D4D11" w:rsidRPr="003E3765" w:rsidRDefault="00000000">
      <w:pPr>
        <w:pStyle w:val="af7"/>
        <w:jc w:val="center"/>
        <w:rPr>
          <w:rFonts w:ascii="Times New Roman" w:hAnsi="Times New Roman" w:cs="Times New Roman"/>
          <w:color w:val="auto"/>
        </w:rPr>
      </w:pPr>
      <w:r w:rsidRPr="003E3765">
        <w:rPr>
          <w:rFonts w:ascii="Times New Roman" w:hAnsi="Times New Roman" w:cs="Times New Roman"/>
          <w:color w:val="auto"/>
        </w:rPr>
        <w:t>Figure 3. Value Iteration policy at p = 1.00 for the three task-progress phases; the station layout is unchanged.</w:t>
      </w:r>
    </w:p>
    <w:p w14:paraId="51C16133" w14:textId="77777777" w:rsidR="008D4D11" w:rsidRPr="003E3765" w:rsidRDefault="00000000">
      <w:pPr>
        <w:pStyle w:val="31"/>
        <w:rPr>
          <w:rFonts w:ascii="Times New Roman" w:hAnsi="Times New Roman" w:cs="Times New Roman"/>
          <w:color w:val="auto"/>
        </w:rPr>
      </w:pPr>
      <w:r w:rsidRPr="003E3765">
        <w:rPr>
          <w:rFonts w:ascii="Times New Roman" w:hAnsi="Times New Roman" w:cs="Times New Roman"/>
          <w:color w:val="auto"/>
        </w:rPr>
        <w:t>5.5.2 Effect of Motion Uncertainty on the Preferred Action</w:t>
      </w:r>
    </w:p>
    <w:p w14:paraId="02BACEDA"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One state with a changed preferred action is (5, 1, 1, 1, 96), meaning the robot is at row 5, column 1, has collected and delivered the package, and has 96 steps remaining. The state was observed in evaluation trajectories for p = 0.90 and p = 0.80; the p = 1.00 entry shows the policy recommendation for the same state.</w:t>
      </w:r>
    </w:p>
    <w:tbl>
      <w:tblPr>
        <w:tblStyle w:val="aff1"/>
        <w:tblW w:w="0" w:type="auto"/>
        <w:jc w:val="center"/>
        <w:tblLayout w:type="fixed"/>
        <w:tblLook w:val="04A0" w:firstRow="1" w:lastRow="0" w:firstColumn="1" w:lastColumn="0" w:noHBand="0" w:noVBand="1"/>
      </w:tblPr>
      <w:tblGrid>
        <w:gridCol w:w="5040"/>
        <w:gridCol w:w="1296"/>
        <w:gridCol w:w="1296"/>
        <w:gridCol w:w="1296"/>
      </w:tblGrid>
      <w:tr w:rsidR="008D4D11" w:rsidRPr="003E3765" w14:paraId="04084316" w14:textId="77777777">
        <w:trPr>
          <w:tblHeader/>
          <w:jc w:val="center"/>
        </w:trPr>
        <w:tc>
          <w:tcPr>
            <w:tcW w:w="5040" w:type="dxa"/>
            <w:shd w:val="clear" w:color="auto" w:fill="1F4E78"/>
            <w:tcMar>
              <w:top w:w="90" w:type="dxa"/>
              <w:left w:w="100" w:type="dxa"/>
              <w:bottom w:w="90" w:type="dxa"/>
              <w:right w:w="100" w:type="dxa"/>
            </w:tcMar>
            <w:vAlign w:val="center"/>
          </w:tcPr>
          <w:p w14:paraId="539E3532"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State (row, col, has_package, delivered, steps_remaining)</w:t>
            </w:r>
          </w:p>
        </w:tc>
        <w:tc>
          <w:tcPr>
            <w:tcW w:w="1296" w:type="dxa"/>
            <w:shd w:val="clear" w:color="auto" w:fill="1F4E78"/>
            <w:tcMar>
              <w:top w:w="90" w:type="dxa"/>
              <w:left w:w="100" w:type="dxa"/>
              <w:bottom w:w="90" w:type="dxa"/>
              <w:right w:w="100" w:type="dxa"/>
            </w:tcMar>
            <w:vAlign w:val="center"/>
          </w:tcPr>
          <w:p w14:paraId="776B9B40"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p = 1.00</w:t>
            </w:r>
          </w:p>
        </w:tc>
        <w:tc>
          <w:tcPr>
            <w:tcW w:w="1296" w:type="dxa"/>
            <w:shd w:val="clear" w:color="auto" w:fill="1F4E78"/>
            <w:tcMar>
              <w:top w:w="90" w:type="dxa"/>
              <w:left w:w="100" w:type="dxa"/>
              <w:bottom w:w="90" w:type="dxa"/>
              <w:right w:w="100" w:type="dxa"/>
            </w:tcMar>
            <w:vAlign w:val="center"/>
          </w:tcPr>
          <w:p w14:paraId="762FE02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p = 0.90</w:t>
            </w:r>
          </w:p>
        </w:tc>
        <w:tc>
          <w:tcPr>
            <w:tcW w:w="1296" w:type="dxa"/>
            <w:shd w:val="clear" w:color="auto" w:fill="1F4E78"/>
            <w:tcMar>
              <w:top w:w="90" w:type="dxa"/>
              <w:left w:w="100" w:type="dxa"/>
              <w:bottom w:w="90" w:type="dxa"/>
              <w:right w:w="100" w:type="dxa"/>
            </w:tcMar>
            <w:vAlign w:val="center"/>
          </w:tcPr>
          <w:p w14:paraId="25B74CC1"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p = 0.80</w:t>
            </w:r>
          </w:p>
        </w:tc>
      </w:tr>
      <w:tr w:rsidR="008D4D11" w:rsidRPr="003E3765" w14:paraId="44522671" w14:textId="77777777">
        <w:trPr>
          <w:jc w:val="center"/>
        </w:trPr>
        <w:tc>
          <w:tcPr>
            <w:tcW w:w="5040" w:type="dxa"/>
            <w:shd w:val="clear" w:color="auto" w:fill="F4F7FA"/>
            <w:tcMar>
              <w:top w:w="90" w:type="dxa"/>
              <w:left w:w="100" w:type="dxa"/>
              <w:bottom w:w="90" w:type="dxa"/>
              <w:right w:w="100" w:type="dxa"/>
            </w:tcMar>
            <w:vAlign w:val="center"/>
          </w:tcPr>
          <w:p w14:paraId="4C02549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(5, 1, 1, 1, 96)</w:t>
            </w:r>
          </w:p>
        </w:tc>
        <w:tc>
          <w:tcPr>
            <w:tcW w:w="1296" w:type="dxa"/>
            <w:shd w:val="clear" w:color="auto" w:fill="F4F7FA"/>
            <w:tcMar>
              <w:top w:w="90" w:type="dxa"/>
              <w:left w:w="100" w:type="dxa"/>
              <w:bottom w:w="90" w:type="dxa"/>
              <w:right w:w="100" w:type="dxa"/>
            </w:tcMar>
            <w:vAlign w:val="center"/>
          </w:tcPr>
          <w:p w14:paraId="10742E81"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Down</w:t>
            </w:r>
          </w:p>
        </w:tc>
        <w:tc>
          <w:tcPr>
            <w:tcW w:w="1296" w:type="dxa"/>
            <w:shd w:val="clear" w:color="auto" w:fill="F4F7FA"/>
            <w:tcMar>
              <w:top w:w="90" w:type="dxa"/>
              <w:left w:w="100" w:type="dxa"/>
              <w:bottom w:w="90" w:type="dxa"/>
              <w:right w:w="100" w:type="dxa"/>
            </w:tcMar>
            <w:vAlign w:val="center"/>
          </w:tcPr>
          <w:p w14:paraId="5428B1D3"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Left</w:t>
            </w:r>
          </w:p>
        </w:tc>
        <w:tc>
          <w:tcPr>
            <w:tcW w:w="1296" w:type="dxa"/>
            <w:shd w:val="clear" w:color="auto" w:fill="F4F7FA"/>
            <w:tcMar>
              <w:top w:w="90" w:type="dxa"/>
              <w:left w:w="100" w:type="dxa"/>
              <w:bottom w:w="90" w:type="dxa"/>
              <w:right w:w="100" w:type="dxa"/>
            </w:tcMar>
            <w:vAlign w:val="center"/>
          </w:tcPr>
          <w:p w14:paraId="383AD6E0"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Left</w:t>
            </w:r>
          </w:p>
        </w:tc>
      </w:tr>
    </w:tbl>
    <w:p w14:paraId="1E999971" w14:textId="77777777" w:rsidR="008D4D11" w:rsidRPr="003E3765" w:rsidRDefault="008D4D11">
      <w:pPr>
        <w:spacing w:after="20"/>
        <w:rPr>
          <w:rFonts w:ascii="Times New Roman" w:hAnsi="Times New Roman" w:cs="Times New Roman"/>
          <w:color w:val="auto"/>
        </w:rPr>
      </w:pPr>
    </w:p>
    <w:p w14:paraId="05A0361B"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At p = 1.00, moving down leads to a cell adjacent to the charging dock, giving a favourable direct route back. As p decreases, choosing down introduces a chance of moving right into a shelf, causing the robot to remain in place and receive the invalid-move penalty. Choosing left has perpendicular outcomes that lead to passable cells above and below the robot. These differences change the expected returns of the actions, making left preferable at p = 0.90 and p = 0.80.</w:t>
      </w:r>
    </w:p>
    <w:p w14:paraId="6E486A2B"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t>6. Comparison and Discussion</w:t>
      </w:r>
    </w:p>
    <w:p w14:paraId="6B1DF4F2"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6.1 Average Cumulative Reward and Success Rate</w:t>
      </w:r>
    </w:p>
    <w:tbl>
      <w:tblPr>
        <w:tblW w:w="0" w:type="auto"/>
        <w:jc w:val="center"/>
        <w:tblLayout w:type="fixed"/>
        <w:tblLook w:val="04A0" w:firstRow="1" w:lastRow="0" w:firstColumn="1" w:lastColumn="0" w:noHBand="0" w:noVBand="1"/>
      </w:tblPr>
      <w:tblGrid>
        <w:gridCol w:w="9994"/>
      </w:tblGrid>
      <w:tr w:rsidR="008D4D11" w:rsidRPr="003E3765" w14:paraId="0CEEB8B9"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774AD588"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Compare the measured rewards and task-success rates of Value Iteration and Q-Learning under the same motion probabilities. Avoid drawing conclusions until both sets of results are available.</w:t>
            </w:r>
          </w:p>
        </w:tc>
      </w:tr>
    </w:tbl>
    <w:p w14:paraId="3D313D7D" w14:textId="77777777" w:rsidR="008D4D11" w:rsidRPr="003E3765" w:rsidRDefault="008D4D11">
      <w:pPr>
        <w:spacing w:after="20"/>
        <w:rPr>
          <w:rFonts w:ascii="Times New Roman" w:hAnsi="Times New Roman" w:cs="Times New Roman"/>
          <w:color w:val="auto"/>
        </w:rPr>
      </w:pPr>
    </w:p>
    <w:p w14:paraId="2510CBAA"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6.2 Convergence Behaviour</w:t>
      </w:r>
    </w:p>
    <w:tbl>
      <w:tblPr>
        <w:tblW w:w="0" w:type="auto"/>
        <w:jc w:val="center"/>
        <w:tblLayout w:type="fixed"/>
        <w:tblLook w:val="04A0" w:firstRow="1" w:lastRow="0" w:firstColumn="1" w:lastColumn="0" w:noHBand="0" w:noVBand="1"/>
      </w:tblPr>
      <w:tblGrid>
        <w:gridCol w:w="9994"/>
      </w:tblGrid>
      <w:tr w:rsidR="008D4D11" w:rsidRPr="003E3765" w14:paraId="196B378E"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1061F7C7"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Contrast Value Iteration convergence in planning iterations with Q-Learning learning curves and explain how model knowledge affects the two methods.</w:t>
            </w:r>
          </w:p>
        </w:tc>
      </w:tr>
    </w:tbl>
    <w:p w14:paraId="413F0725" w14:textId="77777777" w:rsidR="008D4D11" w:rsidRPr="003E3765" w:rsidRDefault="008D4D11">
      <w:pPr>
        <w:spacing w:after="20"/>
        <w:rPr>
          <w:rFonts w:ascii="Times New Roman" w:hAnsi="Times New Roman" w:cs="Times New Roman"/>
          <w:color w:val="auto"/>
        </w:rPr>
      </w:pPr>
    </w:p>
    <w:p w14:paraId="2A01F800"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6.3 Policy Differences and Impact of Motion Uncertainty</w:t>
      </w:r>
    </w:p>
    <w:tbl>
      <w:tblPr>
        <w:tblW w:w="0" w:type="auto"/>
        <w:jc w:val="center"/>
        <w:tblLayout w:type="fixed"/>
        <w:tblLook w:val="04A0" w:firstRow="1" w:lastRow="0" w:firstColumn="1" w:lastColumn="0" w:noHBand="0" w:noVBand="1"/>
      </w:tblPr>
      <w:tblGrid>
        <w:gridCol w:w="9994"/>
      </w:tblGrid>
      <w:tr w:rsidR="008D4D11" w:rsidRPr="003E3765" w14:paraId="4BCBF825" w14:textId="77777777">
        <w:trPr>
          <w:jc w:val="center"/>
        </w:trPr>
        <w:tc>
          <w:tcPr>
            <w:tcW w:w="9994" w:type="dxa"/>
            <w:tcBorders>
              <w:top w:val="single" w:sz="4" w:space="0" w:color="D0D5DD"/>
              <w:left w:val="single" w:sz="4" w:space="0" w:color="D0D5DD"/>
              <w:bottom w:val="single" w:sz="4" w:space="0" w:color="D0D5DD"/>
              <w:right w:val="single" w:sz="4" w:space="0" w:color="D0D5DD"/>
            </w:tcBorders>
            <w:shd w:val="clear" w:color="auto" w:fill="F3F6F9"/>
            <w:tcMar>
              <w:top w:w="130" w:type="dxa"/>
              <w:left w:w="160" w:type="dxa"/>
              <w:bottom w:w="130" w:type="dxa"/>
              <w:right w:w="160" w:type="dxa"/>
            </w:tcMar>
          </w:tcPr>
          <w:p w14:paraId="2893DE82"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rPr>
              <w:t xml:space="preserve">To be completed: </w:t>
            </w:r>
            <w:r w:rsidRPr="003E3765">
              <w:rPr>
                <w:rFonts w:ascii="Times New Roman" w:hAnsi="Times New Roman" w:cs="Times New Roman"/>
                <w:color w:val="auto"/>
              </w:rPr>
              <w:t>Discuss whether the learned Q-Learning policy matches or differs from the Value Iteration policy, and how uncertainty affects routes near congestion zones.</w:t>
            </w:r>
          </w:p>
        </w:tc>
      </w:tr>
    </w:tbl>
    <w:p w14:paraId="6AFB71E4" w14:textId="77777777" w:rsidR="008D4D11" w:rsidRPr="003E3765" w:rsidRDefault="008D4D11">
      <w:pPr>
        <w:spacing w:after="20"/>
        <w:rPr>
          <w:rFonts w:ascii="Times New Roman" w:hAnsi="Times New Roman" w:cs="Times New Roman"/>
          <w:color w:val="auto"/>
        </w:rPr>
      </w:pPr>
    </w:p>
    <w:p w14:paraId="4B4D187C"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lastRenderedPageBreak/>
        <w:t>7. Conclusion</w:t>
      </w:r>
    </w:p>
    <w:p w14:paraId="67B1332C"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The Value Iteration implementation represents robot location, task progress, and remaining steps, and extracts a policy using the specified stochastic transition model. In the tested layout, lower intended-action probabilities reduced the average reward and increased the average number of steps. The preferred action also changed in some states, showing that motion uncertainty can affect route choices. This conclusion currently summarizes the Value Iteration contribution; it should be updated after Q-Learning results and the direct comparison between both methods are incorporated.</w:t>
      </w:r>
    </w:p>
    <w:p w14:paraId="14050EEE" w14:textId="77777777" w:rsidR="008D4D11" w:rsidRPr="003E3765" w:rsidRDefault="00000000">
      <w:pPr>
        <w:pStyle w:val="1"/>
        <w:rPr>
          <w:rFonts w:ascii="Times New Roman" w:hAnsi="Times New Roman" w:cs="Times New Roman"/>
          <w:color w:val="auto"/>
        </w:rPr>
      </w:pPr>
      <w:r w:rsidRPr="003E3765">
        <w:rPr>
          <w:rFonts w:ascii="Times New Roman" w:hAnsi="Times New Roman" w:cs="Times New Roman"/>
          <w:color w:val="auto"/>
        </w:rPr>
        <w:t>8. Group Contributions and AI Usage Statement</w:t>
      </w:r>
    </w:p>
    <w:p w14:paraId="211A822D"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8.1 Group Contributions</w:t>
      </w:r>
    </w:p>
    <w:tbl>
      <w:tblPr>
        <w:tblStyle w:val="aff1"/>
        <w:tblW w:w="0" w:type="auto"/>
        <w:jc w:val="center"/>
        <w:tblLayout w:type="fixed"/>
        <w:tblLook w:val="04A0" w:firstRow="1" w:lastRow="0" w:firstColumn="1" w:lastColumn="0" w:noHBand="0" w:noVBand="1"/>
      </w:tblPr>
      <w:tblGrid>
        <w:gridCol w:w="2160"/>
        <w:gridCol w:w="6912"/>
      </w:tblGrid>
      <w:tr w:rsidR="008D4D11" w:rsidRPr="003E3765" w14:paraId="67B885D0" w14:textId="77777777">
        <w:trPr>
          <w:tblHeader/>
          <w:jc w:val="center"/>
        </w:trPr>
        <w:tc>
          <w:tcPr>
            <w:tcW w:w="2160" w:type="dxa"/>
            <w:shd w:val="clear" w:color="auto" w:fill="1F4E78"/>
            <w:tcMar>
              <w:top w:w="90" w:type="dxa"/>
              <w:left w:w="100" w:type="dxa"/>
              <w:bottom w:w="90" w:type="dxa"/>
              <w:right w:w="100" w:type="dxa"/>
            </w:tcMar>
            <w:vAlign w:val="center"/>
          </w:tcPr>
          <w:p w14:paraId="1100B74A"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Member / role</w:t>
            </w:r>
          </w:p>
        </w:tc>
        <w:tc>
          <w:tcPr>
            <w:tcW w:w="6912" w:type="dxa"/>
            <w:shd w:val="clear" w:color="auto" w:fill="1F4E78"/>
            <w:tcMar>
              <w:top w:w="90" w:type="dxa"/>
              <w:left w:w="100" w:type="dxa"/>
              <w:bottom w:w="90" w:type="dxa"/>
              <w:right w:w="100" w:type="dxa"/>
            </w:tcMar>
            <w:vAlign w:val="center"/>
          </w:tcPr>
          <w:p w14:paraId="63845B89"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b/>
                <w:color w:val="auto"/>
                <w:sz w:val="18"/>
              </w:rPr>
              <w:t>Contribution</w:t>
            </w:r>
          </w:p>
        </w:tc>
      </w:tr>
      <w:tr w:rsidR="008D4D11" w:rsidRPr="003E3765" w14:paraId="3AB1F808" w14:textId="77777777">
        <w:trPr>
          <w:jc w:val="center"/>
        </w:trPr>
        <w:tc>
          <w:tcPr>
            <w:tcW w:w="2160" w:type="dxa"/>
            <w:shd w:val="clear" w:color="auto" w:fill="F4F7FA"/>
            <w:tcMar>
              <w:top w:w="90" w:type="dxa"/>
              <w:left w:w="100" w:type="dxa"/>
              <w:bottom w:w="90" w:type="dxa"/>
              <w:right w:w="100" w:type="dxa"/>
            </w:tcMar>
            <w:vAlign w:val="center"/>
          </w:tcPr>
          <w:p w14:paraId="2CF25DBF"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Member A</w:t>
            </w:r>
          </w:p>
        </w:tc>
        <w:tc>
          <w:tcPr>
            <w:tcW w:w="6912" w:type="dxa"/>
            <w:shd w:val="clear" w:color="auto" w:fill="F4F7FA"/>
            <w:tcMar>
              <w:top w:w="90" w:type="dxa"/>
              <w:left w:w="100" w:type="dxa"/>
              <w:bottom w:w="90" w:type="dxa"/>
              <w:right w:w="100" w:type="dxa"/>
            </w:tcMar>
            <w:vAlign w:val="center"/>
          </w:tcPr>
          <w:p w14:paraId="6903326A"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MDP formulation, Value Iteration implementation, policy visualizations, and Value Iteration experiments.</w:t>
            </w:r>
          </w:p>
        </w:tc>
      </w:tr>
      <w:tr w:rsidR="008D4D11" w:rsidRPr="003E3765" w14:paraId="09513332" w14:textId="77777777">
        <w:trPr>
          <w:jc w:val="center"/>
        </w:trPr>
        <w:tc>
          <w:tcPr>
            <w:tcW w:w="2160" w:type="dxa"/>
            <w:tcMar>
              <w:top w:w="90" w:type="dxa"/>
              <w:left w:w="100" w:type="dxa"/>
              <w:bottom w:w="90" w:type="dxa"/>
              <w:right w:w="100" w:type="dxa"/>
            </w:tcMar>
            <w:vAlign w:val="center"/>
          </w:tcPr>
          <w:p w14:paraId="5885177B"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Member B</w:t>
            </w:r>
          </w:p>
        </w:tc>
        <w:tc>
          <w:tcPr>
            <w:tcW w:w="6912" w:type="dxa"/>
            <w:tcMar>
              <w:top w:w="90" w:type="dxa"/>
              <w:left w:w="100" w:type="dxa"/>
              <w:bottom w:w="90" w:type="dxa"/>
              <w:right w:w="100" w:type="dxa"/>
            </w:tcMar>
            <w:vAlign w:val="center"/>
          </w:tcPr>
          <w:p w14:paraId="04E2BBF4"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Q-Learning implementation, training experiments, hyperparameter tests, and learned-policy evaluation.</w:t>
            </w:r>
          </w:p>
        </w:tc>
      </w:tr>
      <w:tr w:rsidR="008D4D11" w:rsidRPr="003E3765" w14:paraId="01B8FB65" w14:textId="77777777">
        <w:trPr>
          <w:jc w:val="center"/>
        </w:trPr>
        <w:tc>
          <w:tcPr>
            <w:tcW w:w="2160" w:type="dxa"/>
            <w:shd w:val="clear" w:color="auto" w:fill="F4F7FA"/>
            <w:tcMar>
              <w:top w:w="90" w:type="dxa"/>
              <w:left w:w="100" w:type="dxa"/>
              <w:bottom w:w="90" w:type="dxa"/>
              <w:right w:w="100" w:type="dxa"/>
            </w:tcMar>
            <w:vAlign w:val="center"/>
          </w:tcPr>
          <w:p w14:paraId="0B25B772"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Both members</w:t>
            </w:r>
          </w:p>
        </w:tc>
        <w:tc>
          <w:tcPr>
            <w:tcW w:w="6912" w:type="dxa"/>
            <w:shd w:val="clear" w:color="auto" w:fill="F4F7FA"/>
            <w:tcMar>
              <w:top w:w="90" w:type="dxa"/>
              <w:left w:w="100" w:type="dxa"/>
              <w:bottom w:w="90" w:type="dxa"/>
              <w:right w:w="100" w:type="dxa"/>
            </w:tcMar>
            <w:vAlign w:val="center"/>
          </w:tcPr>
          <w:p w14:paraId="40FB3F52" w14:textId="77777777" w:rsidR="008D4D11" w:rsidRPr="003E3765" w:rsidRDefault="00000000">
            <w:pPr>
              <w:spacing w:after="0"/>
              <w:rPr>
                <w:rFonts w:ascii="Times New Roman" w:hAnsi="Times New Roman" w:cs="Times New Roman"/>
                <w:color w:val="auto"/>
              </w:rPr>
            </w:pPr>
            <w:r w:rsidRPr="003E3765">
              <w:rPr>
                <w:rFonts w:ascii="Times New Roman" w:hAnsi="Times New Roman" w:cs="Times New Roman"/>
                <w:color w:val="auto"/>
                <w:sz w:val="18"/>
              </w:rPr>
              <w:t>Cross-algorithm comparison, discussion, final report integration, and final code/output review.</w:t>
            </w:r>
          </w:p>
        </w:tc>
      </w:tr>
    </w:tbl>
    <w:p w14:paraId="3090F38F" w14:textId="77777777" w:rsidR="008D4D11" w:rsidRPr="003E3765" w:rsidRDefault="008D4D11">
      <w:pPr>
        <w:spacing w:after="20"/>
        <w:rPr>
          <w:rFonts w:ascii="Times New Roman" w:hAnsi="Times New Roman" w:cs="Times New Roman"/>
          <w:color w:val="auto"/>
        </w:rPr>
      </w:pPr>
    </w:p>
    <w:p w14:paraId="43DC92B0"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Replace Member A and Member B with the appropriate group member names before submission.</w:t>
      </w:r>
    </w:p>
    <w:p w14:paraId="7FF43D54" w14:textId="77777777" w:rsidR="008D4D11" w:rsidRPr="003E3765" w:rsidRDefault="00000000">
      <w:pPr>
        <w:pStyle w:val="21"/>
        <w:rPr>
          <w:rFonts w:ascii="Times New Roman" w:hAnsi="Times New Roman" w:cs="Times New Roman"/>
          <w:color w:val="auto"/>
        </w:rPr>
      </w:pPr>
      <w:r w:rsidRPr="003E3765">
        <w:rPr>
          <w:rFonts w:ascii="Times New Roman" w:hAnsi="Times New Roman" w:cs="Times New Roman"/>
          <w:color w:val="auto"/>
        </w:rPr>
        <w:t>8.2 AI Usage Statement</w:t>
      </w:r>
    </w:p>
    <w:p w14:paraId="57E1C616" w14:textId="77777777" w:rsidR="008D4D11" w:rsidRPr="003E3765" w:rsidRDefault="00000000">
      <w:pPr>
        <w:rPr>
          <w:rFonts w:ascii="Times New Roman" w:hAnsi="Times New Roman" w:cs="Times New Roman"/>
          <w:color w:val="auto"/>
        </w:rPr>
      </w:pPr>
      <w:r w:rsidRPr="003E3765">
        <w:rPr>
          <w:rFonts w:ascii="Times New Roman" w:hAnsi="Times New Roman" w:cs="Times New Roman"/>
          <w:color w:val="auto"/>
        </w:rPr>
        <w:t>OpenAI ChatGPT was used to assist with interpreting the assignment requirements, discussing algorithm design, reviewing the Value Iteration implementation, and drafting and revising report text. The group should review the final code, reported results, and all statements before submission. Conversation link: https://chatgpt.com/c/6add6410-3994-83ea-89f6-3ad2701d6542</w:t>
      </w:r>
    </w:p>
    <w:p w14:paraId="285C5B6E" w14:textId="1BF681BC" w:rsidR="008D4D11" w:rsidRDefault="008D4D11">
      <w:pPr>
        <w:rPr>
          <w:rFonts w:ascii="Times New Roman" w:eastAsia="宋体" w:hAnsi="Times New Roman" w:cs="Times New Roman"/>
          <w:color w:val="auto"/>
          <w:lang w:eastAsia="zh-CN"/>
        </w:rPr>
      </w:pPr>
    </w:p>
    <w:p w14:paraId="3E63C162" w14:textId="77777777" w:rsidR="003B41C0" w:rsidRPr="003B41C0" w:rsidRDefault="003B41C0">
      <w:pPr>
        <w:rPr>
          <w:rFonts w:ascii="Times New Roman" w:eastAsia="宋体" w:hAnsi="Times New Roman" w:cs="Times New Roman"/>
          <w:color w:val="auto"/>
          <w:lang w:eastAsia="zh-CN"/>
        </w:rPr>
      </w:pPr>
    </w:p>
    <w:sectPr w:rsidR="003B41C0" w:rsidRPr="003B41C0" w:rsidSect="00034616">
      <w:headerReference w:type="default" r:id="rId11"/>
      <w:footerReference w:type="default" r:id="rId12"/>
      <w:pgSz w:w="12240" w:h="15840"/>
      <w:pgMar w:top="979" w:right="1123" w:bottom="979"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52689" w14:textId="77777777" w:rsidR="009E0037" w:rsidRDefault="009E0037">
      <w:pPr>
        <w:spacing w:after="0" w:line="240" w:lineRule="auto"/>
      </w:pPr>
      <w:r>
        <w:separator/>
      </w:r>
    </w:p>
  </w:endnote>
  <w:endnote w:type="continuationSeparator" w:id="0">
    <w:p w14:paraId="1FAF51C3" w14:textId="77777777" w:rsidR="009E0037" w:rsidRDefault="009E0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3C56" w14:textId="77777777" w:rsidR="008D4D11" w:rsidRDefault="00000000">
    <w:pPr>
      <w:pStyle w:val="a7"/>
      <w:jc w:val="center"/>
    </w:pPr>
    <w:r>
      <w:rPr>
        <w:color w:val="667085"/>
        <w:sz w:val="18"/>
      </w:rPr>
      <w:t xml:space="preserve">Page </w:t>
    </w:r>
    <w:r>
      <w:rPr>
        <w:color w:val="667085"/>
        <w:sz w:val="18"/>
      </w:rPr>
      <w:fldChar w:fldCharType="begin"/>
    </w:r>
    <w:r>
      <w:rPr>
        <w:color w:val="667085"/>
        <w:sz w:val="18"/>
      </w:rPr>
      <w:instrText xml:space="preserve"> PAGE </w:instrText>
    </w:r>
    <w:r>
      <w:rPr>
        <w:color w:val="667085"/>
        <w:sz w:val="18"/>
      </w:rPr>
      <w:fldChar w:fldCharType="separate"/>
    </w:r>
    <w:r w:rsidR="003E3765">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D6305" w14:textId="77777777" w:rsidR="009E0037" w:rsidRDefault="009E0037">
      <w:pPr>
        <w:spacing w:after="0" w:line="240" w:lineRule="auto"/>
      </w:pPr>
      <w:r>
        <w:separator/>
      </w:r>
    </w:p>
  </w:footnote>
  <w:footnote w:type="continuationSeparator" w:id="0">
    <w:p w14:paraId="41F4EC34" w14:textId="77777777" w:rsidR="009E0037" w:rsidRDefault="009E0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33DB" w14:textId="563CDFC6" w:rsidR="008D4D11" w:rsidRDefault="008D4D11">
    <w:pPr>
      <w:pStyle w:val="a5"/>
      <w:pBdr>
        <w:bottom w:val="single" w:sz="4" w:space="3" w:color="D0D5DD"/>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1065524">
    <w:abstractNumId w:val="8"/>
  </w:num>
  <w:num w:numId="2" w16cid:durableId="831527148">
    <w:abstractNumId w:val="6"/>
  </w:num>
  <w:num w:numId="3" w16cid:durableId="927347426">
    <w:abstractNumId w:val="5"/>
  </w:num>
  <w:num w:numId="4" w16cid:durableId="1045177755">
    <w:abstractNumId w:val="4"/>
  </w:num>
  <w:num w:numId="5" w16cid:durableId="443620590">
    <w:abstractNumId w:val="7"/>
  </w:num>
  <w:num w:numId="6" w16cid:durableId="1878665834">
    <w:abstractNumId w:val="3"/>
  </w:num>
  <w:num w:numId="7" w16cid:durableId="1416239912">
    <w:abstractNumId w:val="2"/>
  </w:num>
  <w:num w:numId="8" w16cid:durableId="1049764666">
    <w:abstractNumId w:val="1"/>
  </w:num>
  <w:num w:numId="9" w16cid:durableId="44245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4F8"/>
    <w:rsid w:val="0015074B"/>
    <w:rsid w:val="001E21AD"/>
    <w:rsid w:val="0029639D"/>
    <w:rsid w:val="002B09EC"/>
    <w:rsid w:val="002B530B"/>
    <w:rsid w:val="00326F90"/>
    <w:rsid w:val="003B41C0"/>
    <w:rsid w:val="003E3765"/>
    <w:rsid w:val="005F6C3C"/>
    <w:rsid w:val="00606C1B"/>
    <w:rsid w:val="006C5B99"/>
    <w:rsid w:val="00781AF4"/>
    <w:rsid w:val="008D4D11"/>
    <w:rsid w:val="00976A9D"/>
    <w:rsid w:val="009E0037"/>
    <w:rsid w:val="00AA1D8D"/>
    <w:rsid w:val="00B27C5D"/>
    <w:rsid w:val="00B47730"/>
    <w:rsid w:val="00C710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754D6"/>
  <w14:defaultImageDpi w14:val="300"/>
  <w15:docId w15:val="{5B0474C2-458F-44E3-8694-8C9A96F1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59" w:lineRule="auto"/>
    </w:pPr>
    <w:rPr>
      <w:rFonts w:ascii="Calibri" w:hAnsi="Calibri"/>
      <w:color w:val="253746"/>
      <w:sz w:val="21"/>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1F4E78"/>
      <w:sz w:val="32"/>
      <w:szCs w:val="28"/>
    </w:rPr>
  </w:style>
  <w:style w:type="paragraph" w:styleId="21">
    <w:name w:val="heading 2"/>
    <w:basedOn w:val="a1"/>
    <w:next w:val="a1"/>
    <w:link w:val="22"/>
    <w:uiPriority w:val="9"/>
    <w:unhideWhenUsed/>
    <w:qFormat/>
    <w:rsid w:val="00FC693F"/>
    <w:pPr>
      <w:keepNext/>
      <w:keepLines/>
      <w:spacing w:before="160" w:after="6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20" w:after="140" w:line="240" w:lineRule="auto"/>
    </w:pPr>
    <w:rPr>
      <w:b/>
      <w:bCs/>
      <w:i/>
      <w:color w:val="4B5563"/>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CCE8C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CCE8C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CCE8C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CCE8C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CCE8C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CCE8C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CCE8C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CCE8C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CCE8C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CCE8C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CCE8C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CCE8C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CCE8C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CCE8C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CCE8C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CCE8C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CCE8C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CCE8C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CE8C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CE8CF" w:themeFill="background1"/>
      </w:tcPr>
    </w:tblStylePr>
    <w:tblStylePr w:type="firstCol">
      <w:rPr>
        <w:b/>
        <w:bCs/>
        <w:color w:val="CCE8C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CCE8C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9DD3A3" w:themeFill="background1" w:themeFillShade="D8"/>
      </w:tcPr>
    </w:tblStylePr>
    <w:tblStylePr w:type="band1Horz">
      <w:tblPr/>
      <w:tcPr>
        <w:shd w:val="clear" w:color="auto" w:fill="9DD3A3"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CE8C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CCE8CF" w:themeFill="background1"/>
      </w:tcPr>
    </w:tblStylePr>
    <w:tblStylePr w:type="lastRow">
      <w:tblPr/>
      <w:tcPr>
        <w:tcBorders>
          <w:top w:val="single" w:sz="8" w:space="0" w:color="000000" w:themeColor="tex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000000" w:themeColor="text1"/>
          <w:insideH w:val="nil"/>
          <w:insideV w:val="nil"/>
        </w:tcBorders>
        <w:shd w:val="clear" w:color="auto" w:fill="CCE8CF" w:themeFill="background1"/>
      </w:tcPr>
    </w:tblStylePr>
    <w:tblStylePr w:type="lastCol">
      <w:tblPr/>
      <w:tcPr>
        <w:tcBorders>
          <w:top w:val="nil"/>
          <w:left w:val="single" w:sz="8" w:space="0" w:color="000000" w:themeColor="tex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CCE8C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CCE8CF" w:themeFill="background1"/>
      </w:tcPr>
    </w:tblStylePr>
    <w:tblStylePr w:type="lastRow">
      <w:tblPr/>
      <w:tcPr>
        <w:tcBorders>
          <w:top w:val="single" w:sz="8" w:space="0" w:color="4F81BD" w:themeColor="accent1"/>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F81BD" w:themeColor="accent1"/>
          <w:insideH w:val="nil"/>
          <w:insideV w:val="nil"/>
        </w:tcBorders>
        <w:shd w:val="clear" w:color="auto" w:fill="CCE8CF" w:themeFill="background1"/>
      </w:tcPr>
    </w:tblStylePr>
    <w:tblStylePr w:type="lastCol">
      <w:tblPr/>
      <w:tcPr>
        <w:tcBorders>
          <w:top w:val="nil"/>
          <w:left w:val="single" w:sz="8" w:space="0" w:color="4F81BD" w:themeColor="accent1"/>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CCE8C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tblPr/>
      <w:tcPr>
        <w:tcBorders>
          <w:top w:val="single" w:sz="8" w:space="0" w:color="C0504D" w:themeColor="accent2"/>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C0504D" w:themeColor="accent2"/>
          <w:insideH w:val="nil"/>
          <w:insideV w:val="nil"/>
        </w:tcBorders>
        <w:shd w:val="clear" w:color="auto" w:fill="CCE8CF" w:themeFill="background1"/>
      </w:tcPr>
    </w:tblStylePr>
    <w:tblStylePr w:type="lastCol">
      <w:tblPr/>
      <w:tcPr>
        <w:tcBorders>
          <w:top w:val="nil"/>
          <w:left w:val="single" w:sz="8" w:space="0" w:color="C0504D" w:themeColor="accent2"/>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CCE8C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CCE8CF" w:themeFill="background1"/>
      </w:tcPr>
    </w:tblStylePr>
    <w:tblStylePr w:type="lastRow">
      <w:tblPr/>
      <w:tcPr>
        <w:tcBorders>
          <w:top w:val="single" w:sz="8" w:space="0" w:color="9BBB59" w:themeColor="accent3"/>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9BBB59" w:themeColor="accent3"/>
          <w:insideH w:val="nil"/>
          <w:insideV w:val="nil"/>
        </w:tcBorders>
        <w:shd w:val="clear" w:color="auto" w:fill="CCE8CF" w:themeFill="background1"/>
      </w:tcPr>
    </w:tblStylePr>
    <w:tblStylePr w:type="lastCol">
      <w:tblPr/>
      <w:tcPr>
        <w:tcBorders>
          <w:top w:val="nil"/>
          <w:left w:val="single" w:sz="8" w:space="0" w:color="9BBB59" w:themeColor="accent3"/>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CCE8C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CCE8CF" w:themeFill="background1"/>
      </w:tcPr>
    </w:tblStylePr>
    <w:tblStylePr w:type="lastRow">
      <w:tblPr/>
      <w:tcPr>
        <w:tcBorders>
          <w:top w:val="single" w:sz="8" w:space="0" w:color="8064A2" w:themeColor="accent4"/>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8064A2" w:themeColor="accent4"/>
          <w:insideH w:val="nil"/>
          <w:insideV w:val="nil"/>
        </w:tcBorders>
        <w:shd w:val="clear" w:color="auto" w:fill="CCE8CF" w:themeFill="background1"/>
      </w:tcPr>
    </w:tblStylePr>
    <w:tblStylePr w:type="lastCol">
      <w:tblPr/>
      <w:tcPr>
        <w:tcBorders>
          <w:top w:val="nil"/>
          <w:left w:val="single" w:sz="8" w:space="0" w:color="8064A2" w:themeColor="accent4"/>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CCE8C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CCE8CF" w:themeFill="background1"/>
      </w:tcPr>
    </w:tblStylePr>
    <w:tblStylePr w:type="lastRow">
      <w:tblPr/>
      <w:tcPr>
        <w:tcBorders>
          <w:top w:val="single" w:sz="8" w:space="0" w:color="4BACC6" w:themeColor="accent5"/>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4BACC6" w:themeColor="accent5"/>
          <w:insideH w:val="nil"/>
          <w:insideV w:val="nil"/>
        </w:tcBorders>
        <w:shd w:val="clear" w:color="auto" w:fill="CCE8CF" w:themeFill="background1"/>
      </w:tcPr>
    </w:tblStylePr>
    <w:tblStylePr w:type="lastCol">
      <w:tblPr/>
      <w:tcPr>
        <w:tcBorders>
          <w:top w:val="nil"/>
          <w:left w:val="single" w:sz="8" w:space="0" w:color="4BACC6" w:themeColor="accent5"/>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CCE8C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CCE8CF" w:themeFill="background1"/>
      </w:tcPr>
    </w:tblStylePr>
    <w:tblStylePr w:type="lastRow">
      <w:tblPr/>
      <w:tcPr>
        <w:tcBorders>
          <w:top w:val="single" w:sz="8" w:space="0" w:color="F79646" w:themeColor="accent6"/>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sz="8" w:space="0" w:color="F79646" w:themeColor="accent6"/>
          <w:insideH w:val="nil"/>
          <w:insideV w:val="nil"/>
        </w:tcBorders>
        <w:shd w:val="clear" w:color="auto" w:fill="CCE8CF" w:themeFill="background1"/>
      </w:tcPr>
    </w:tblStylePr>
    <w:tblStylePr w:type="lastCol">
      <w:tblPr/>
      <w:tcPr>
        <w:tcBorders>
          <w:top w:val="nil"/>
          <w:left w:val="single" w:sz="8" w:space="0" w:color="F79646" w:themeColor="accent6"/>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CCE8C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CCE8C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CCE8C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CCE8C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CCE8C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CCE8C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CCE8C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CCE8CF" w:themeFill="background1"/>
      </w:tcPr>
    </w:tblStylePr>
    <w:tblStylePr w:type="firstCol">
      <w:rPr>
        <w:b/>
        <w:bCs/>
        <w:color w:val="000000" w:themeColor="text1"/>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CCE8C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C0C0C0" w:themeFill="tex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000000" w:themeFill="tex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000000" w:themeFill="tex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000000" w:themeFill="tex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000000" w:themeFill="tex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808080" w:themeFill="tex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3DFEE" w:themeFill="accent1"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F81BD" w:themeFill="accent1"/>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F81BD" w:themeFill="accent1"/>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F81BD" w:themeFill="accent1"/>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7BFDE" w:themeFill="accent1"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EFD3D2" w:themeFill="accent2"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C0504D" w:themeFill="accent2"/>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C0504D" w:themeFill="accent2"/>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C0504D" w:themeFill="accent2"/>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C0504D" w:themeFill="accent2"/>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DFA7A6" w:themeFill="accent2"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E6EED5" w:themeFill="accent3"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9BBB59" w:themeFill="accent3"/>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9BBB59" w:themeFill="accent3"/>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9BBB59" w:themeFill="accent3"/>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9BBB59" w:themeFill="accent3"/>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CDDDAC" w:themeFill="accent3"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FD8E8" w:themeFill="accent4"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8064A2" w:themeFill="accent4"/>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8064A2" w:themeFill="accent4"/>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8064A2" w:themeFill="accent4"/>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8064A2" w:themeFill="accent4"/>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BFB1D0" w:themeFill="accent4"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D2EAF1" w:themeFill="accent5"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4BACC6" w:themeFill="accent5"/>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4BACC6" w:themeFill="accent5"/>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4BACC6" w:themeFill="accent5"/>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A5D5E2" w:themeFill="accent5"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6" w:space="0" w:color="CCE8CF" w:themeColor="background1"/>
        <w:insideV w:val="single" w:sz="6" w:space="0" w:color="CCE8CF" w:themeColor="background1"/>
      </w:tblBorders>
    </w:tblPr>
    <w:tcPr>
      <w:shd w:val="clear" w:color="auto" w:fill="FDE4D0" w:themeFill="accent6" w:themeFillTint="3F"/>
    </w:tcPr>
    <w:tblStylePr w:type="firstRow">
      <w:rPr>
        <w:b/>
        <w:bCs/>
        <w:i w:val="0"/>
        <w:iCs w:val="0"/>
        <w:color w:val="CCE8CF" w:themeColor="background1"/>
      </w:rPr>
      <w:tblPr/>
      <w:tcPr>
        <w:tcBorders>
          <w:top w:val="single" w:sz="8" w:space="0" w:color="CCE8CF" w:themeColor="background1"/>
          <w:left w:val="single" w:sz="8" w:space="0" w:color="CCE8CF" w:themeColor="background1"/>
          <w:bottom w:val="single" w:sz="24" w:space="0" w:color="CCE8CF" w:themeColor="background1"/>
          <w:right w:val="single" w:sz="8" w:space="0" w:color="CCE8CF" w:themeColor="background1"/>
          <w:insideH w:val="nil"/>
          <w:insideV w:val="single" w:sz="8" w:space="0" w:color="CCE8CF" w:themeColor="background1"/>
        </w:tcBorders>
        <w:shd w:val="clear" w:color="auto" w:fill="F79646" w:themeFill="accent6"/>
      </w:tcPr>
    </w:tblStylePr>
    <w:tblStylePr w:type="lastRow">
      <w:rPr>
        <w:b/>
        <w:bCs/>
        <w:i w:val="0"/>
        <w:iCs w:val="0"/>
        <w:color w:val="CCE8CF" w:themeColor="background1"/>
      </w:rPr>
      <w:tblPr/>
      <w:tcPr>
        <w:tcBorders>
          <w:top w:val="single" w:sz="24" w:space="0" w:color="CCE8CF" w:themeColor="background1"/>
          <w:left w:val="single" w:sz="8" w:space="0" w:color="CCE8CF" w:themeColor="background1"/>
          <w:bottom w:val="single" w:sz="8" w:space="0" w:color="CCE8CF" w:themeColor="background1"/>
          <w:right w:val="single" w:sz="8" w:space="0" w:color="CCE8CF" w:themeColor="background1"/>
          <w:insideH w:val="nil"/>
          <w:insideV w:val="single" w:sz="8" w:space="0" w:color="CCE8CF" w:themeColor="background1"/>
        </w:tcBorders>
        <w:shd w:val="clear" w:color="auto" w:fill="F79646" w:themeFill="accent6"/>
      </w:tcPr>
    </w:tblStylePr>
    <w:tblStylePr w:type="firstCol">
      <w:rPr>
        <w:b/>
        <w:bCs/>
        <w:i w:val="0"/>
        <w:iCs w:val="0"/>
        <w:color w:val="CCE8CF" w:themeColor="background1"/>
      </w:rPr>
      <w:tblPr/>
      <w:tcPr>
        <w:tcBorders>
          <w:left w:val="single" w:sz="8" w:space="0" w:color="CCE8CF" w:themeColor="background1"/>
          <w:right w:val="single" w:sz="24" w:space="0" w:color="CCE8CF" w:themeColor="background1"/>
          <w:insideH w:val="nil"/>
          <w:insideV w:val="nil"/>
        </w:tcBorders>
        <w:shd w:val="clear" w:color="auto" w:fill="F79646" w:themeFill="accent6"/>
      </w:tcPr>
    </w:tblStylePr>
    <w:tblStylePr w:type="lastCol">
      <w:rPr>
        <w:b/>
        <w:bCs/>
        <w:i w:val="0"/>
        <w:iCs w:val="0"/>
        <w:color w:val="CCE8CF" w:themeColor="background1"/>
      </w:rPr>
      <w:tblPr/>
      <w:tcPr>
        <w:tcBorders>
          <w:top w:val="nil"/>
          <w:left w:val="single" w:sz="24" w:space="0" w:color="CCE8CF" w:themeColor="background1"/>
          <w:bottom w:val="nil"/>
          <w:right w:val="nil"/>
          <w:insideH w:val="nil"/>
          <w:insideV w:val="nil"/>
        </w:tcBorders>
        <w:shd w:val="clear" w:color="auto" w:fill="F79646" w:themeFill="accent6"/>
      </w:tcPr>
    </w:tblStylePr>
    <w:tblStylePr w:type="band1Vert">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nil"/>
          <w:insideV w:val="nil"/>
        </w:tcBorders>
        <w:shd w:val="clear" w:color="auto" w:fill="FBCAA2" w:themeFill="accent6" w:themeFillTint="7F"/>
      </w:tcPr>
    </w:tblStylePr>
    <w:tblStylePr w:type="band1Horz">
      <w:tblPr/>
      <w:tcPr>
        <w:tcBorders>
          <w:top w:val="single" w:sz="8" w:space="0" w:color="CCE8CF" w:themeColor="background1"/>
          <w:left w:val="single" w:sz="8" w:space="0" w:color="CCE8CF" w:themeColor="background1"/>
          <w:bottom w:val="single" w:sz="8" w:space="0" w:color="CCE8CF" w:themeColor="background1"/>
          <w:right w:val="single" w:sz="8" w:space="0" w:color="CCE8CF" w:themeColor="background1"/>
          <w:insideH w:val="single" w:sz="8" w:space="0" w:color="CCE8CF" w:themeColor="background1"/>
          <w:insideV w:val="single" w:sz="8" w:space="0" w:color="CCE8C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CCE8C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CCE8CF" w:themeColor="background1"/>
          <w:insideH w:val="nil"/>
          <w:insideV w:val="nil"/>
        </w:tcBorders>
        <w:shd w:val="clear" w:color="auto" w:fill="000000" w:themeFill="text1" w:themeFillShade="BF"/>
      </w:tcPr>
    </w:tblStylePr>
    <w:tblStylePr w:type="lastCol">
      <w:tblPr/>
      <w:tcPr>
        <w:tcBorders>
          <w:top w:val="nil"/>
          <w:left w:val="single" w:sz="18" w:space="0" w:color="CCE8C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CCE8C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CCE8CF" w:themeColor="background1"/>
          <w:insideH w:val="nil"/>
          <w:insideV w:val="nil"/>
        </w:tcBorders>
        <w:shd w:val="clear" w:color="auto" w:fill="365F91" w:themeFill="accent1" w:themeFillShade="BF"/>
      </w:tcPr>
    </w:tblStylePr>
    <w:tblStylePr w:type="lastCol">
      <w:tblPr/>
      <w:tcPr>
        <w:tcBorders>
          <w:top w:val="nil"/>
          <w:left w:val="single" w:sz="18" w:space="0" w:color="CCE8C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CCE8C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CCE8CF" w:themeColor="background1"/>
          <w:insideH w:val="nil"/>
          <w:insideV w:val="nil"/>
        </w:tcBorders>
        <w:shd w:val="clear" w:color="auto" w:fill="943634" w:themeFill="accent2" w:themeFillShade="BF"/>
      </w:tcPr>
    </w:tblStylePr>
    <w:tblStylePr w:type="lastCol">
      <w:tblPr/>
      <w:tcPr>
        <w:tcBorders>
          <w:top w:val="nil"/>
          <w:left w:val="single" w:sz="18" w:space="0" w:color="CCE8C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CCE8C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CCE8CF" w:themeColor="background1"/>
          <w:insideH w:val="nil"/>
          <w:insideV w:val="nil"/>
        </w:tcBorders>
        <w:shd w:val="clear" w:color="auto" w:fill="76923C" w:themeFill="accent3" w:themeFillShade="BF"/>
      </w:tcPr>
    </w:tblStylePr>
    <w:tblStylePr w:type="lastCol">
      <w:tblPr/>
      <w:tcPr>
        <w:tcBorders>
          <w:top w:val="nil"/>
          <w:left w:val="single" w:sz="18" w:space="0" w:color="CCE8C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CCE8C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CCE8CF" w:themeColor="background1"/>
          <w:insideH w:val="nil"/>
          <w:insideV w:val="nil"/>
        </w:tcBorders>
        <w:shd w:val="clear" w:color="auto" w:fill="5F497A" w:themeFill="accent4" w:themeFillShade="BF"/>
      </w:tcPr>
    </w:tblStylePr>
    <w:tblStylePr w:type="lastCol">
      <w:tblPr/>
      <w:tcPr>
        <w:tcBorders>
          <w:top w:val="nil"/>
          <w:left w:val="single" w:sz="18" w:space="0" w:color="CCE8C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CCE8C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CCE8CF" w:themeColor="background1"/>
          <w:insideH w:val="nil"/>
          <w:insideV w:val="nil"/>
        </w:tcBorders>
        <w:shd w:val="clear" w:color="auto" w:fill="31849B" w:themeFill="accent5" w:themeFillShade="BF"/>
      </w:tcPr>
    </w:tblStylePr>
    <w:tblStylePr w:type="lastCol">
      <w:tblPr/>
      <w:tcPr>
        <w:tcBorders>
          <w:top w:val="nil"/>
          <w:left w:val="single" w:sz="18" w:space="0" w:color="CCE8C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CCE8C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CCE8CF" w:themeColor="background1"/>
          <w:right w:val="nil"/>
          <w:insideH w:val="nil"/>
          <w:insideV w:val="nil"/>
        </w:tcBorders>
        <w:shd w:val="clear" w:color="auto" w:fill="000000" w:themeFill="text1"/>
      </w:tcPr>
    </w:tblStylePr>
    <w:tblStylePr w:type="lastRow">
      <w:tblPr/>
      <w:tcPr>
        <w:tcBorders>
          <w:top w:val="single" w:sz="18" w:space="0" w:color="CCE8C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CCE8CF" w:themeColor="background1"/>
          <w:insideH w:val="nil"/>
          <w:insideV w:val="nil"/>
        </w:tcBorders>
        <w:shd w:val="clear" w:color="auto" w:fill="E36C0A" w:themeFill="accent6" w:themeFillShade="BF"/>
      </w:tcPr>
    </w:tblStylePr>
    <w:tblStylePr w:type="lastCol">
      <w:tblPr/>
      <w:tcPr>
        <w:tcBorders>
          <w:top w:val="nil"/>
          <w:left w:val="single" w:sz="18" w:space="0" w:color="CCE8C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CCE8CF" w:themeColor="background1"/>
        <w:insideV w:val="single" w:sz="4" w:space="0" w:color="CCE8C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000000" w:themeFill="text1" w:themeFillShade="99"/>
      </w:tcPr>
    </w:tblStylePr>
    <w:tblStylePr w:type="firstCol">
      <w:rPr>
        <w:color w:val="CCE8C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CCE8C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CCE8CF" w:themeColor="background1"/>
        <w:insideV w:val="single" w:sz="4" w:space="0" w:color="CCE8C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2C4C74" w:themeFill="accent1" w:themeFillShade="99"/>
      </w:tcPr>
    </w:tblStylePr>
    <w:tblStylePr w:type="firstCol">
      <w:rPr>
        <w:color w:val="CCE8C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CCE8C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CCE8CF" w:themeColor="background1"/>
        <w:insideV w:val="single" w:sz="4" w:space="0" w:color="CCE8C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772C2A" w:themeFill="accent2" w:themeFillShade="99"/>
      </w:tcPr>
    </w:tblStylePr>
    <w:tblStylePr w:type="firstCol">
      <w:rPr>
        <w:color w:val="CCE8C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CCE8C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CCE8CF" w:themeColor="background1"/>
        <w:insideV w:val="single" w:sz="4" w:space="0" w:color="CCE8C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5E7530" w:themeFill="accent3" w:themeFillShade="99"/>
      </w:tcPr>
    </w:tblStylePr>
    <w:tblStylePr w:type="firstCol">
      <w:rPr>
        <w:color w:val="CCE8C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CCE8C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CCE8CF" w:themeColor="background1"/>
        <w:insideV w:val="single" w:sz="4" w:space="0" w:color="CCE8C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4C3B62" w:themeFill="accent4" w:themeFillShade="99"/>
      </w:tcPr>
    </w:tblStylePr>
    <w:tblStylePr w:type="firstCol">
      <w:rPr>
        <w:color w:val="CCE8C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CCE8C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CCE8CF" w:themeColor="background1"/>
        <w:insideV w:val="single" w:sz="4" w:space="0" w:color="CCE8C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276A7C" w:themeFill="accent5" w:themeFillShade="99"/>
      </w:tcPr>
    </w:tblStylePr>
    <w:tblStylePr w:type="firstCol">
      <w:rPr>
        <w:color w:val="CCE8C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CCE8C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CCE8CF" w:themeColor="background1"/>
        <w:insideV w:val="single" w:sz="4" w:space="0" w:color="CCE8C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CCE8CF" w:themeFill="background1"/>
      </w:tcPr>
    </w:tblStylePr>
    <w:tblStylePr w:type="lastRow">
      <w:rPr>
        <w:b/>
        <w:bCs/>
        <w:color w:val="CCE8CF" w:themeColor="background1"/>
      </w:rPr>
      <w:tblPr/>
      <w:tcPr>
        <w:tcBorders>
          <w:top w:val="single" w:sz="6" w:space="0" w:color="CCE8CF" w:themeColor="background1"/>
        </w:tcBorders>
        <w:shd w:val="clear" w:color="auto" w:fill="B65608" w:themeFill="accent6" w:themeFillShade="99"/>
      </w:tcPr>
    </w:tblStylePr>
    <w:tblStylePr w:type="firstCol">
      <w:rPr>
        <w:color w:val="CCE8C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CCE8C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CCE8CF" w:themeColor="background1"/>
      </w:rPr>
      <w:tblPr/>
      <w:tcPr>
        <w:tcBorders>
          <w:bottom w:val="single" w:sz="12" w:space="0" w:color="CCE8C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CCE8CF" w:themeColor="background1"/>
      </w:rPr>
      <w:tblPr/>
      <w:tcPr>
        <w:tcBorders>
          <w:bottom w:val="single" w:sz="12" w:space="0" w:color="CCE8C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CCE8CF" w:themeColor="background1"/>
      </w:rPr>
      <w:tblPr/>
      <w:tcPr>
        <w:tcBorders>
          <w:bottom w:val="single" w:sz="12" w:space="0" w:color="CCE8C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CCE8CF" w:themeColor="background1"/>
      </w:rPr>
      <w:tblPr/>
      <w:tcPr>
        <w:tcBorders>
          <w:bottom w:val="single" w:sz="12" w:space="0" w:color="CCE8C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CCE8CF" w:themeColor="background1"/>
      </w:rPr>
      <w:tblPr/>
      <w:tcPr>
        <w:shd w:val="clear" w:color="auto" w:fill="000000" w:themeFill="text1" w:themeFillShade="BF"/>
      </w:tcPr>
    </w:tblStylePr>
    <w:tblStylePr w:type="lastCol">
      <w:rPr>
        <w:color w:val="CCE8C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CCE8CF" w:themeColor="background1"/>
      </w:rPr>
      <w:tblPr/>
      <w:tcPr>
        <w:shd w:val="clear" w:color="auto" w:fill="365F91" w:themeFill="accent1" w:themeFillShade="BF"/>
      </w:tcPr>
    </w:tblStylePr>
    <w:tblStylePr w:type="lastCol">
      <w:rPr>
        <w:color w:val="CCE8C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CCE8CF" w:themeColor="background1"/>
      </w:rPr>
      <w:tblPr/>
      <w:tcPr>
        <w:shd w:val="clear" w:color="auto" w:fill="943634" w:themeFill="accent2" w:themeFillShade="BF"/>
      </w:tcPr>
    </w:tblStylePr>
    <w:tblStylePr w:type="lastCol">
      <w:rPr>
        <w:color w:val="CCE8C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CCE8CF" w:themeColor="background1"/>
      </w:rPr>
      <w:tblPr/>
      <w:tcPr>
        <w:shd w:val="clear" w:color="auto" w:fill="76923C" w:themeFill="accent3" w:themeFillShade="BF"/>
      </w:tcPr>
    </w:tblStylePr>
    <w:tblStylePr w:type="lastCol">
      <w:rPr>
        <w:color w:val="CCE8C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CCE8CF" w:themeColor="background1"/>
      </w:rPr>
      <w:tblPr/>
      <w:tcPr>
        <w:shd w:val="clear" w:color="auto" w:fill="5F497A" w:themeFill="accent4" w:themeFillShade="BF"/>
      </w:tcPr>
    </w:tblStylePr>
    <w:tblStylePr w:type="lastCol">
      <w:rPr>
        <w:color w:val="CCE8C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CCE8CF" w:themeColor="background1"/>
      </w:rPr>
      <w:tblPr/>
      <w:tcPr>
        <w:shd w:val="clear" w:color="auto" w:fill="31849B" w:themeFill="accent5" w:themeFillShade="BF"/>
      </w:tcPr>
    </w:tblStylePr>
    <w:tblStylePr w:type="lastCol">
      <w:rPr>
        <w:color w:val="CCE8C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CCE8C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CCE8CF" w:themeColor="background1"/>
      </w:rPr>
      <w:tblPr/>
      <w:tcPr>
        <w:shd w:val="clear" w:color="auto" w:fill="E36C0A" w:themeFill="accent6" w:themeFillShade="BF"/>
      </w:tcPr>
    </w:tblStylePr>
    <w:tblStylePr w:type="lastCol">
      <w:rPr>
        <w:color w:val="CCE8C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Warehouse Robot Decision Making with Dynamic Programming and Reinforcement Learning</dc:title>
  <dc:subject>Reorganized Assignment 2 report draft</dc:subject>
  <dc:creator>Group 12</dc:creator>
  <cp:keywords>MDP, Value Iteration, Q-Learning, Warehouse Robot</cp:keywords>
  <dc:description>generated by python-docx</dc:description>
  <cp:lastModifiedBy>lanhui zhang</cp:lastModifiedBy>
  <cp:revision>13</cp:revision>
  <dcterms:created xsi:type="dcterms:W3CDTF">2013-12-23T23:15:00Z</dcterms:created>
  <dcterms:modified xsi:type="dcterms:W3CDTF">2026-10-25T14:43:00Z</dcterms:modified>
  <cp:category/>
</cp:coreProperties>
</file>