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Google AI Agent 核心能力参考</w:t>
      </w:r>
    </w:p>
    <w:p>
      <w:pPr>
        <w:jc w:val="center"/>
      </w:pPr>
      <w:r>
        <w:rPr>
          <w:color w:val="475569"/>
          <w:sz w:val="22"/>
        </w:rPr>
        <w:t>面向产品规划、技术建设与上线治理的官方材料整理  |  2026-09-13</w:t>
      </w:r>
    </w:p>
    <w:p/>
    <w:p>
      <w:r>
        <w:t>结论：Google Cloud 的官方材料把 AI Agent 视为一套完整系统，而不只是“能聊天的模型”。核心由模型、Grounding、工具、数据架构、编排和运行时组成；要在真实业务中稳定运行，还必须同时建设安全与身份、评估与可观测性、可靠交付与成本治理。</w:t>
      </w:r>
    </w:p>
    <w:p>
      <w:r>
        <w:t>本文将 Google 官方页面中分散的能力描述归并为一套便于规划和验收的清单。它是对官方材料的综合整理，不等同于某一个 Google 产品或 API 的单独功能列表。</w:t>
      </w:r>
    </w:p>
    <w:p>
      <w:pPr>
        <w:pStyle w:val="Heading1"/>
      </w:pPr>
      <w:r>
        <w:t>1. Google 官方框架中的六个构建块</w:t>
      </w:r>
    </w:p>
    <w:p>
      <w:r>
        <w:t>Google Cloud 在 Core concepts of AI agents 中明确列出六个构建块。它们共同决定 Agent 是否能理解目标、获得可靠上下文、采取行动并在生产环境持续运行。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12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构建块</w:t>
            </w:r>
          </w:p>
        </w:tc>
        <w:tc>
          <w:tcPr>
            <w:tcW w:type="dxa" w:w="3240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解决的问题</w:t>
            </w:r>
          </w:p>
        </w:tc>
        <w:tc>
          <w:tcPr>
            <w:tcW w:type="dxa" w:w="5357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建设要点</w:t>
            </w:r>
          </w:p>
        </w:tc>
      </w:tr>
      <w:tr>
        <w:tc>
          <w:tcPr>
            <w:tcW w:type="dxa" w:w="1512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模型</w:t>
            </w:r>
          </w:p>
        </w:tc>
        <w:tc>
          <w:tcPr>
            <w:tcW w:type="dxa" w:w="3240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理解任务、推理、生成计划与结果</w:t>
            </w:r>
          </w:p>
        </w:tc>
        <w:tc>
          <w:tcPr>
            <w:tcW w:type="dxa" w:w="5357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按任务选择模型；定义系统指令、输出结构和失败降级策略。</w:t>
            </w:r>
          </w:p>
        </w:tc>
      </w:tr>
      <w:tr>
        <w:tc>
          <w:tcPr>
            <w:tcW w:type="dxa" w:w="1512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Grounding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把回答约束在可信事实和当前上下文中</w:t>
            </w:r>
          </w:p>
        </w:tc>
        <w:tc>
          <w:tcPr>
            <w:tcW w:type="dxa" w:w="5357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检索项目文档、代码、业务数据；要求来源、时间范围和权限边界可见。</w:t>
            </w:r>
          </w:p>
        </w:tc>
      </w:tr>
      <w:tr>
        <w:tc>
          <w:tcPr>
            <w:tcW w:type="dxa" w:w="1512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工具</w:t>
            </w:r>
          </w:p>
        </w:tc>
        <w:tc>
          <w:tcPr>
            <w:tcW w:type="dxa" w:w="3240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让 Agent 调用外部系统而不是只给建议</w:t>
            </w:r>
          </w:p>
        </w:tc>
        <w:tc>
          <w:tcPr>
            <w:tcW w:type="dxa" w:w="5357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以明确输入输出封装 API、Git、检索、工单等动作；设定批准、回滚和审计。</w:t>
            </w:r>
          </w:p>
        </w:tc>
      </w:tr>
      <w:tr>
        <w:tc>
          <w:tcPr>
            <w:tcW w:type="dxa" w:w="1512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数据架构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保存知识、记忆、状态与执行证据</w:t>
            </w:r>
          </w:p>
        </w:tc>
        <w:tc>
          <w:tcPr>
            <w:tcW w:type="dxa" w:w="5357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区分工作记忆、长期记忆、业务数据和事务日志；治理版本、权限与保留期。</w:t>
            </w:r>
          </w:p>
        </w:tc>
      </w:tr>
      <w:tr>
        <w:tc>
          <w:tcPr>
            <w:tcW w:type="dxa" w:w="1512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编排</w:t>
            </w:r>
          </w:p>
        </w:tc>
        <w:tc>
          <w:tcPr>
            <w:tcW w:type="dxa" w:w="3240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组织多轮循环、状态流转和多 Agent 协作</w:t>
            </w:r>
          </w:p>
        </w:tc>
        <w:tc>
          <w:tcPr>
            <w:tcW w:type="dxa" w:w="5357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实现任务拆分、路由、委派、重试、交接与停止条件。</w:t>
            </w:r>
          </w:p>
        </w:tc>
      </w:tr>
      <w:tr>
        <w:tc>
          <w:tcPr>
            <w:tcW w:type="dxa" w:w="1512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运行时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在真实环境安全、可靠、可扩展地执行</w:t>
            </w:r>
          </w:p>
        </w:tc>
        <w:tc>
          <w:tcPr>
            <w:tcW w:type="dxa" w:w="5357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提供隔离、身份、网络控制、弹性、观测、评估和成本管理。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982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e-agent-capability-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82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color w:val="475569"/>
          <w:sz w:val="18"/>
        </w:rPr>
        <w:t>图 1  Google 官方材料归纳的 Agent 能力全景图</w:t>
      </w:r>
    </w:p>
    <w:p>
      <w:pPr>
        <w:pStyle w:val="Heading1"/>
      </w:pPr>
      <w:r>
        <w:t>2. Agent 的核心闭环</w:t>
      </w:r>
    </w:p>
    <w:p>
      <w:r>
        <w:t>Google 将生产级 Agent 的工作方式描述为递归的 Think - Act - Observe 循环，并由编排层维护状态与下一步决策。对业务系统而言，闭环是否完整，比单次回答是否流畅更重要。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584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5112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应具备的能力</w:t>
            </w:r>
          </w:p>
        </w:tc>
        <w:tc>
          <w:tcPr>
            <w:tcW w:type="dxa" w:w="3413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验收信号</w:t>
            </w:r>
          </w:p>
        </w:tc>
      </w:tr>
      <w:tr>
        <w:tc>
          <w:tcPr>
            <w:tcW w:type="dxa" w:w="1584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思考 Think</w:t>
            </w:r>
          </w:p>
        </w:tc>
        <w:tc>
          <w:tcPr>
            <w:tcW w:type="dxa" w:w="5112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理解目标、识别约束、拆分步骤、决定是否要提问或调用工具。</w:t>
            </w:r>
          </w:p>
        </w:tc>
        <w:tc>
          <w:tcPr>
            <w:tcW w:type="dxa" w:w="3413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能解释为什么选择某条路径；对不确定信息明确说明。</w:t>
            </w:r>
          </w:p>
        </w:tc>
      </w:tr>
      <w:tr>
        <w:tc>
          <w:tcPr>
            <w:tcW w:type="dxa" w:w="1584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行动 Act</w:t>
            </w:r>
          </w:p>
        </w:tc>
        <w:tc>
          <w:tcPr>
            <w:tcW w:type="dxa" w:w="5112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按受控接口调用检索、代码、业务 API 或委派其他 Agent。</w:t>
            </w:r>
          </w:p>
        </w:tc>
        <w:tc>
          <w:tcPr>
            <w:tcW w:type="dxa" w:w="3413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每次动作带有输入、权限、结果和关联会话。</w:t>
            </w:r>
          </w:p>
        </w:tc>
      </w:tr>
      <w:tr>
        <w:tc>
          <w:tcPr>
            <w:tcW w:type="dxa" w:w="1584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观察 Observe</w:t>
            </w:r>
          </w:p>
        </w:tc>
        <w:tc>
          <w:tcPr>
            <w:tcW w:type="dxa" w:w="5112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读取工具返回、识别异常、修正计划，必要时恢复或停止。</w:t>
            </w:r>
          </w:p>
        </w:tc>
        <w:tc>
          <w:tcPr>
            <w:tcW w:type="dxa" w:w="3413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错误可定位；支持重试、换路、请求澄清和安全停止。</w:t>
            </w:r>
          </w:p>
        </w:tc>
      </w:tr>
      <w:tr>
        <w:tc>
          <w:tcPr>
            <w:tcW w:type="dxa" w:w="1584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迭代与交付</w:t>
            </w:r>
          </w:p>
        </w:tc>
        <w:tc>
          <w:tcPr>
            <w:tcW w:type="dxa" w:w="5112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更新短期状态，生成结果、依据和后续建议。</w:t>
            </w:r>
          </w:p>
        </w:tc>
        <w:tc>
          <w:tcPr>
            <w:tcW w:type="dxa" w:w="3413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输出可追溯到事实、工具结果和执行轨迹。</w:t>
            </w:r>
          </w:p>
        </w:tc>
      </w:tr>
    </w:tbl>
    <w:p>
      <w:pPr>
        <w:spacing w:after="40"/>
      </w:pPr>
    </w:p>
    <w:p>
      <w:pPr>
        <w:pStyle w:val="Heading1"/>
      </w:pPr>
      <w:r>
        <w:t>3. Grounding、上下文与记忆</w:t>
      </w:r>
    </w:p>
    <w:p>
      <w:r>
        <w:t>Google 的材料强调，Grounding 不只是给模型追加一段 RAG 文本。一个生产级 Agent 需要把实时上下文、可复用知识和动作证据分层处理，避免把不可靠或无权限的信息混入决策。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数据层</w:t>
            </w:r>
          </w:p>
        </w:tc>
        <w:tc>
          <w:tcPr>
            <w:tcW w:type="dxa" w:w="4464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845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建议的治理方式</w:t>
            </w:r>
          </w:p>
        </w:tc>
      </w:tr>
      <w:tr>
        <w:tc>
          <w:tcPr>
            <w:tcW w:type="dxa" w:w="1800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工作记忆</w:t>
            </w:r>
          </w:p>
        </w:tc>
        <w:tc>
          <w:tcPr>
            <w:tcW w:type="dxa" w:w="4464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当前会话目标、已读文件、已调用工具、未完成步骤。</w:t>
            </w:r>
          </w:p>
        </w:tc>
        <w:tc>
          <w:tcPr>
            <w:tcW w:type="dxa" w:w="3845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随任务保存；限制大小；切换会话时恢复位置与关键状态。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长期知识与记忆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项目规范、架构、历史决策、用户偏好和经过提炼的高价值经验。</w:t>
            </w:r>
          </w:p>
        </w:tc>
        <w:tc>
          <w:tcPr>
            <w:tcW w:type="dxa" w:w="3845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来源可追溯、版本化、可撤销；区分项目、团队和个人可见范围。</w:t>
            </w:r>
          </w:p>
        </w:tc>
      </w:tr>
      <w:tr>
        <w:tc>
          <w:tcPr>
            <w:tcW w:type="dxa" w:w="1800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事务与审计记录</w:t>
            </w:r>
          </w:p>
        </w:tc>
        <w:tc>
          <w:tcPr>
            <w:tcW w:type="dxa" w:w="4464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写操作、Git 提交、工单更新、审批、失败和补偿过程。</w:t>
            </w:r>
          </w:p>
        </w:tc>
        <w:tc>
          <w:tcPr>
            <w:tcW w:type="dxa" w:w="3845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不可随意覆盖；关联执行者、时间、输入、输出、权限和结果。</w:t>
            </w:r>
          </w:p>
        </w:tc>
      </w:tr>
    </w:tbl>
    <w:p>
      <w:pPr>
        <w:spacing w:after="40"/>
      </w:pPr>
    </w:p>
    <w:p>
      <w:r>
        <w:t>实践提示：对代码与交付场景，建议将“代码事实”“需求事实”“执行证据”分开保存。模型可以综合它们回答，但不能把推测写回事实库。</w:t>
      </w:r>
    </w:p>
    <w:p>
      <w:pPr>
        <w:pStyle w:val="Heading1"/>
      </w:pPr>
      <w:r>
        <w:t>4. 工具调用与受控执行</w:t>
      </w:r>
    </w:p>
    <w:p>
      <w:r>
        <w:t>工具让 Agent 从问答走向工作流，但也是风险最大的边界。Google 的生产实践强调围绕工具调用构建安全、可恢复和可观察的执行机制。</w:t>
      </w:r>
    </w:p>
    <w:p>
      <w:pPr>
        <w:pStyle w:val="ListBullet"/>
        <w:spacing w:after="80"/>
      </w:pPr>
      <w:r>
        <w:t>把每个动作封装为边界清晰的工具：输入、输出、权限、超时、幂等性和失败语义均应明确。</w:t>
      </w:r>
    </w:p>
    <w:p>
      <w:pPr>
        <w:pStyle w:val="ListBullet"/>
        <w:spacing w:after="80"/>
      </w:pPr>
      <w:r>
        <w:t>写入、删除、推送、发布等高影响动作采用分级批准；只读查询可自动执行，危险动作应提供预览与确认。</w:t>
      </w:r>
    </w:p>
    <w:p>
      <w:pPr>
        <w:pStyle w:val="ListBullet"/>
        <w:spacing w:after="80"/>
      </w:pPr>
      <w:r>
        <w:t>用最小权限身份执行，并限制网络出口、文件范围和可调用工具；敏感信息不应直接出现在模型上下文或日志中。</w:t>
      </w:r>
    </w:p>
    <w:p>
      <w:pPr>
        <w:pStyle w:val="ListBullet"/>
        <w:spacing w:after="80"/>
      </w:pPr>
      <w:r>
        <w:t>对失败设计重试、去重、补偿与人工接管；不要把“模型再次尝试”当作唯一恢复策略。</w:t>
      </w:r>
    </w:p>
    <w:p>
      <w:pPr>
        <w:pStyle w:val="Heading1"/>
      </w:pPr>
      <w:r>
        <w:t>5. 编排与多 Agent 协同</w:t>
      </w:r>
    </w:p>
    <w:p>
      <w:r>
        <w:t>Google 将编排视为把模型、工具和数据连接为可运行工作流的控制层。多 Agent 的价值不是增加角色数量，而是让不同职责在统一状态、权限和交接规范下完成分工。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协同能力</w:t>
            </w:r>
          </w:p>
        </w:tc>
        <w:tc>
          <w:tcPr>
            <w:tcW w:type="dxa" w:w="4536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适用场景</w:t>
            </w:r>
          </w:p>
        </w:tc>
        <w:tc>
          <w:tcPr>
            <w:tcW w:type="dxa" w:w="3773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应保留的控制点</w:t>
            </w:r>
          </w:p>
        </w:tc>
      </w:tr>
      <w:tr>
        <w:tc>
          <w:tcPr>
            <w:tcW w:type="dxa" w:w="1800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任务路由</w:t>
            </w:r>
          </w:p>
        </w:tc>
        <w:tc>
          <w:tcPr>
            <w:tcW w:type="dxa" w:w="4536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根据项目、专业、风险或工具范围选择合适的 Agent。</w:t>
            </w:r>
          </w:p>
        </w:tc>
        <w:tc>
          <w:tcPr>
            <w:tcW w:type="dxa" w:w="3773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能力声明、模型与工具范围、超时与失败回退。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委派与交接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分析 Agent 将实现任务交给代码 Agent，或把待确认项交给人工。</w:t>
            </w:r>
          </w:p>
        </w:tc>
        <w:tc>
          <w:tcPr>
            <w:tcW w:type="dxa" w:w="3773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输入摘要、事实来源、未完成项、责任归属与交接结果。</w:t>
            </w:r>
          </w:p>
        </w:tc>
      </w:tr>
      <w:tr>
        <w:tc>
          <w:tcPr>
            <w:tcW w:type="dxa" w:w="1800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共享状态</w:t>
            </w:r>
          </w:p>
        </w:tc>
        <w:tc>
          <w:tcPr>
            <w:tcW w:type="dxa" w:w="4536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多个 Agent 围绕同一任务持续推进。</w:t>
            </w:r>
          </w:p>
        </w:tc>
        <w:tc>
          <w:tcPr>
            <w:tcW w:type="dxa" w:w="3773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区分共享任务状态和私有推理；并发写入需要锁、版本或事务策略。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互操作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将外部 Agent、工具服务器或业务系统接入。</w:t>
            </w:r>
          </w:p>
        </w:tc>
        <w:tc>
          <w:tcPr>
            <w:tcW w:type="dxa" w:w="3773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标准协议只是接口；仍要做身份验证、权限、观测和内容安全。</w:t>
            </w:r>
          </w:p>
        </w:tc>
      </w:tr>
    </w:tbl>
    <w:p>
      <w:pPr>
        <w:spacing w:after="40"/>
      </w:pPr>
    </w:p>
    <w:p>
      <w:pPr>
        <w:pStyle w:val="Heading1"/>
      </w:pPr>
      <w:r>
        <w:t>6. 生产级能力：安全、评估与可观测性</w:t>
      </w:r>
    </w:p>
    <w:p>
      <w:r>
        <w:t>Google Cloud 的生产实践不把安全和评估视为上线后的附加项，而是 Agent 运行时的一部分。评估对象也不应只看最终答案，还应查看完整轨迹。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领域</w:t>
            </w:r>
          </w:p>
        </w:tc>
        <w:tc>
          <w:tcPr>
            <w:tcW w:type="dxa" w:w="4392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关键问题</w:t>
            </w:r>
          </w:p>
        </w:tc>
        <w:tc>
          <w:tcPr>
            <w:tcW w:type="dxa" w:w="3917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建议指标或证据</w:t>
            </w:r>
          </w:p>
        </w:tc>
      </w:tr>
      <w:tr>
        <w:tc>
          <w:tcPr>
            <w:tcW w:type="dxa" w:w="1800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身份与策略</w:t>
            </w:r>
          </w:p>
        </w:tc>
        <w:tc>
          <w:tcPr>
            <w:tcW w:type="dxa" w:w="4392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谁在代表谁执行？能访问什么？</w:t>
            </w:r>
          </w:p>
        </w:tc>
        <w:tc>
          <w:tcPr>
            <w:tcW w:type="dxa" w:w="3917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Agent 身份、最小权限、工具白名单、策略命中记录、审批记录。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内容与数据安全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是否被提示注入、工具投毒或敏感数据泄露影响？</w:t>
            </w:r>
          </w:p>
        </w:tc>
        <w:tc>
          <w:tcPr>
            <w:tcW w:type="dxa" w:w="3917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输入输出过滤、数据分级、密钥隔离、异常拦截与人工复核。</w:t>
            </w:r>
          </w:p>
        </w:tc>
      </w:tr>
      <w:tr>
        <w:tc>
          <w:tcPr>
            <w:tcW w:type="dxa" w:w="1800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轨迹评估</w:t>
            </w:r>
          </w:p>
        </w:tc>
        <w:tc>
          <w:tcPr>
            <w:tcW w:type="dxa" w:w="4392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是否选择了正确工具、合理推理并从错误中恢复？</w:t>
            </w:r>
          </w:p>
        </w:tc>
        <w:tc>
          <w:tcPr>
            <w:tcW w:type="dxa" w:w="3917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工具选择正确率、澄清率、失败恢复率、人工接管率、任务完成质量。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可观测性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发生了什么，为什么发生，成本如何？</w:t>
            </w:r>
          </w:p>
        </w:tc>
        <w:tc>
          <w:tcPr>
            <w:tcW w:type="dxa" w:w="3917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Trace、模型调用、工具耗时、错误类别、上下文大小、Token 和单位任务成本。</w:t>
            </w:r>
          </w:p>
        </w:tc>
      </w:tr>
      <w:tr>
        <w:tc>
          <w:tcPr>
            <w:tcW w:type="dxa" w:w="1800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发布与可靠性</w:t>
            </w:r>
          </w:p>
        </w:tc>
        <w:tc>
          <w:tcPr>
            <w:tcW w:type="dxa" w:w="4392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新版本是否在真实业务中安全生效？</w:t>
            </w:r>
          </w:p>
        </w:tc>
        <w:tc>
          <w:tcPr>
            <w:tcW w:type="dxa" w:w="3917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离线评测、沙箱、灰度、回滚、SLO、限流与容量指标。</w:t>
            </w:r>
          </w:p>
        </w:tc>
      </w:tr>
    </w:tbl>
    <w:p>
      <w:pPr>
        <w:spacing w:after="40"/>
      </w:pPr>
    </w:p>
    <w:p>
      <w:pPr>
        <w:pStyle w:val="Heading1"/>
      </w:pPr>
      <w:r>
        <w:t>7. 建设顺序建议</w:t>
      </w:r>
    </w:p>
    <w:p>
      <w:r>
        <w:t>以下路径是基于 Google 官方能力框架作出的工程规划建议，不是 Google 对任何具体产品的实施要求。它适用于希望从代码问答逐步扩展到可协作交付的团队。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307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e-agent-production-pa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color w:val="475569"/>
          <w:sz w:val="18"/>
        </w:rPr>
        <w:t>图 2  从可信问答到多 Agent 治理的递进建设路径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43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680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优先交付</w:t>
            </w:r>
          </w:p>
        </w:tc>
        <w:tc>
          <w:tcPr>
            <w:tcW w:type="dxa" w:w="3586"/>
            <w:vAlign w:val="center"/>
            <w:shd w:fill="153B67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暂不宜过早追求</w:t>
            </w:r>
          </w:p>
        </w:tc>
      </w:tr>
      <w:tr>
        <w:tc>
          <w:tcPr>
            <w:tcW w:type="dxa" w:w="1843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P0 可信问答</w:t>
            </w:r>
          </w:p>
        </w:tc>
        <w:tc>
          <w:tcPr>
            <w:tcW w:type="dxa" w:w="4680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项目选择、事实检索、只读工具、引用与会话轨迹。</w:t>
            </w:r>
          </w:p>
        </w:tc>
        <w:tc>
          <w:tcPr>
            <w:tcW w:type="dxa" w:w="3586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无人值守写库、复杂多 Agent 自主决策。</w:t>
            </w:r>
          </w:p>
        </w:tc>
      </w:tr>
      <w:tr>
        <w:tc>
          <w:tcPr>
            <w:tcW w:type="dxa" w:w="1843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P1 可控执行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受控代码修改、Git 证据链、审批、回滚、幂等与错误处理。</w:t>
            </w:r>
          </w:p>
        </w:tc>
        <w:tc>
          <w:tcPr>
            <w:tcW w:type="dxa" w:w="3586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让模型拥有广泛系统权限。</w:t>
            </w:r>
          </w:p>
        </w:tc>
      </w:tr>
      <w:tr>
        <w:tc>
          <w:tcPr>
            <w:tcW w:type="dxa" w:w="1843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P2 知识与评估</w:t>
            </w:r>
          </w:p>
        </w:tc>
        <w:tc>
          <w:tcPr>
            <w:tcW w:type="dxa" w:w="4680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高价值对话提炼、项目知识版本、评测集、轨迹分析和质量基线。</w:t>
            </w:r>
          </w:p>
        </w:tc>
        <w:tc>
          <w:tcPr>
            <w:tcW w:type="dxa" w:w="3586"/>
            <w:vAlign w:val="center"/>
            <w:shd w:fill="F7FAFE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把所有原始对话自动写入长期记忆。</w:t>
            </w:r>
          </w:p>
        </w:tc>
      </w:tr>
      <w:tr>
        <w:tc>
          <w:tcPr>
            <w:tcW w:type="dxa" w:w="1843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P3 协同与治理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专业 Agent、委派交接、统一身份策略、Agent 注册与成本优化。</w:t>
            </w:r>
          </w:p>
        </w:tc>
        <w:tc>
          <w:tcPr>
            <w:tcW w:type="dxa" w:w="3586"/>
            <w:vAlign w:val="center"/>
            <w:shd w:fill="FFFFFF"/>
            <w:tcBorders>
              <w:top w:val="single" w:sz="6" w:color="D7E1EE"/>
              <w:left w:val="single" w:sz="6" w:color="D7E1EE"/>
              <w:bottom w:val="single" w:sz="6" w:color="D7E1EE"/>
              <w:right w:val="single" w:sz="6" w:color="D7E1EE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t>无策略边界的自治协作。</w:t>
            </w:r>
          </w:p>
        </w:tc>
      </w:tr>
    </w:tbl>
    <w:p>
      <w:pPr>
        <w:spacing w:after="40"/>
      </w:pPr>
    </w:p>
    <w:p>
      <w:pPr>
        <w:pStyle w:val="Heading1"/>
      </w:pPr>
      <w:r>
        <w:t>8. 对坤伴后续规划的映射</w:t>
      </w:r>
    </w:p>
    <w:p>
      <w:r>
        <w:t>从已有的项目、会话、工作画布、代码库、Git 操作和多模型接入能力出发，可将后续建设聚焦在“可靠事实 + 可控行动 + 可沉淀知识 + 可协同交付”四条主线。以下为规划推断，非 Google 官方对坤伴的评价。</w:t>
      </w:r>
    </w:p>
    <w:p>
      <w:pPr>
        <w:pStyle w:val="ListBullet"/>
        <w:spacing w:after="80"/>
      </w:pPr>
      <w:r>
        <w:t>统一知识入口：以项目、代码、需求、任务和交付记录形成可引用的知识对象；为来源、版本、权限和有效期建立元数据。</w:t>
      </w:r>
    </w:p>
    <w:p>
      <w:pPr>
        <w:pStyle w:val="ListBullet"/>
        <w:spacing w:after="80"/>
      </w:pPr>
      <w:r>
        <w:t>可追溯记忆：从高价值对话中提炼决策、约束、故障经验和技能，但先经规则或人工确认，再进入长期知识。</w:t>
      </w:r>
    </w:p>
    <w:p>
      <w:pPr>
        <w:pStyle w:val="ListBullet"/>
        <w:spacing w:after="80"/>
      </w:pPr>
      <w:r>
        <w:t>证据链执行：把工具调用、文件差异、Git 提交、审批、测试与发布结果串成一条可回放的任务轨迹。</w:t>
      </w:r>
    </w:p>
    <w:p>
      <w:pPr>
        <w:pStyle w:val="ListBullet"/>
        <w:spacing w:after="80"/>
      </w:pPr>
      <w:r>
        <w:t>Agent 协同：先定义能力、输入输出、权限与交接格式，再扩展 CPS、APS 等专业 Agent 的协作，而不是只增加聊天入口。</w:t>
      </w:r>
    </w:p>
    <w:p>
      <w:pPr>
        <w:pStyle w:val="ListBullet"/>
        <w:spacing w:after="80"/>
      </w:pPr>
      <w:r>
        <w:t>质量运营：建设典型任务集和回归评测，持续观察正确性、失败恢复、成本、时延与人工介入比例。</w:t>
      </w:r>
    </w:p>
    <w:p>
      <w:pPr>
        <w:pStyle w:val="Heading1"/>
      </w:pPr>
      <w:r>
        <w:t>附录 A 主要 Google 官方来源</w:t>
      </w:r>
    </w:p>
    <w:p>
      <w:pPr>
        <w:pStyle w:val="ListBullet"/>
      </w:pPr>
      <w:r>
        <w:rPr>
          <w:b/>
        </w:rPr>
        <w:t>Google Cloud - Core concepts of AI agents</w:t>
        <w:br/>
      </w:r>
      <w:r>
        <w:rPr>
          <w:color w:val="2563EB"/>
          <w:sz w:val="18"/>
        </w:rPr>
        <w:t>https://cloud.google.com/resources/core-concepts-ai-agents</w:t>
      </w:r>
    </w:p>
    <w:p>
      <w:pPr>
        <w:pStyle w:val="ListBullet"/>
      </w:pPr>
      <w:r>
        <w:rPr>
          <w:b/>
        </w:rPr>
        <w:t>Google Cloud - What are AI agents</w:t>
        <w:br/>
      </w:r>
      <w:r>
        <w:rPr>
          <w:color w:val="2563EB"/>
          <w:sz w:val="18"/>
        </w:rPr>
        <w:t>https://cloud.google.com/discover/what-are-ai-agents</w:t>
      </w:r>
    </w:p>
    <w:p>
      <w:pPr>
        <w:pStyle w:val="ListBullet"/>
      </w:pPr>
      <w:r>
        <w:rPr>
          <w:b/>
        </w:rPr>
        <w:t>Google Cloud Blog - A developer's guide to production-ready AI agents</w:t>
        <w:br/>
      </w:r>
      <w:r>
        <w:rPr>
          <w:color w:val="2563EB"/>
          <w:sz w:val="18"/>
        </w:rPr>
        <w:t>https://cloud.google.com/blog/products/ai-machine-learning/a-devs-guide-to-production-ready-ai-agents</w:t>
      </w:r>
    </w:p>
    <w:p>
      <w:pPr>
        <w:pStyle w:val="ListBullet"/>
      </w:pPr>
      <w:r>
        <w:rPr>
          <w:b/>
        </w:rPr>
        <w:t>Google Cloud - What are agentic workflows</w:t>
        <w:br/>
      </w:r>
      <w:r>
        <w:rPr>
          <w:color w:val="2563EB"/>
          <w:sz w:val="18"/>
        </w:rPr>
        <w:t>https://cloud.google.com/discover/agentic-workflows</w:t>
      </w:r>
    </w:p>
    <w:p>
      <w:pPr>
        <w:pStyle w:val="ListBullet"/>
      </w:pPr>
      <w:r>
        <w:rPr>
          <w:b/>
        </w:rPr>
        <w:t>Google Cloud documentation - Host AI agents on Cloud Run</w:t>
        <w:br/>
      </w:r>
      <w:r>
        <w:rPr>
          <w:color w:val="2563EB"/>
          <w:sz w:val="18"/>
        </w:rPr>
        <w:t>https://docs.cloud.google.com/run/docs/ai-agents</w:t>
      </w:r>
    </w:p>
    <w:p>
      <w:pPr>
        <w:pStyle w:val="ListBullet"/>
      </w:pPr>
      <w:r>
        <w:rPr>
          <w:b/>
        </w:rPr>
        <w:t>Google AI for Developers - Agents overview</w:t>
        <w:br/>
      </w:r>
      <w:r>
        <w:rPr>
          <w:color w:val="2563EB"/>
          <w:sz w:val="18"/>
        </w:rPr>
        <w:t>https://ai.google.dev/gemini-api/docs/agents</w:t>
      </w:r>
    </w:p>
    <w:sectPr w:rsidR="00FC693F" w:rsidRPr="0006063C" w:rsidSect="00034616">
      <w:footerReference w:type="default" r:id="rId9"/>
      <w:pgSz w:w="12240" w:h="15840"/>
      <w:pgMar w:top="1037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7"/>
      </w:rPr>
      <w:t>Google AI Agent 核心能力参考  |  2026-09-13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17" w:lineRule="auto"/>
    </w:pPr>
    <w:rPr>
      <w:rFonts w:ascii="Microsoft YaHei" w:hAnsi="Microsoft YaHei" w:eastAsia="Microsoft YaHe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