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3F8781" w14:textId="77777777" w:rsidR="003F29C5" w:rsidRDefault="00000000">
      <w:pPr>
        <w:pStyle w:val="1"/>
        <w:kinsoku w:val="0"/>
        <w:overflowPunct w:val="0"/>
        <w:spacing w:line="560" w:lineRule="exact"/>
        <w:ind w:left="0" w:right="-28"/>
        <w:rPr>
          <w:rFonts w:ascii="黑体" w:eastAsia="黑体" w:hAnsi="黑体"/>
          <w:b w:val="0"/>
          <w:sz w:val="32"/>
          <w:szCs w:val="32"/>
        </w:rPr>
      </w:pPr>
      <w:r>
        <w:rPr>
          <w:rFonts w:ascii="黑体" w:eastAsia="黑体" w:hAnsi="黑体"/>
          <w:b w:val="0"/>
          <w:sz w:val="32"/>
          <w:szCs w:val="32"/>
        </w:rPr>
        <w:t>一、项目概述（说明项目的研究背景及意义、研究内容、实施方案、拟解决的关键问题、技术路线和实施方案等）</w:t>
      </w:r>
    </w:p>
    <w:p w14:paraId="183E5727" w14:textId="77777777" w:rsidR="003F29C5" w:rsidRDefault="00000000">
      <w:pPr>
        <w:spacing w:line="560" w:lineRule="exact"/>
        <w:outlineLvl w:val="1"/>
        <w:rPr>
          <w:rFonts w:ascii="楷体" w:eastAsia="楷体" w:hAnsi="楷体"/>
          <w:color w:val="2F5496"/>
          <w:sz w:val="32"/>
          <w:szCs w:val="32"/>
        </w:rPr>
      </w:pPr>
      <w:commentRangeStart w:id="0"/>
      <w:r>
        <w:rPr>
          <w:rFonts w:ascii="楷体" w:eastAsia="楷体" w:hAnsi="楷体"/>
          <w:color w:val="2F5496"/>
          <w:sz w:val="32"/>
          <w:szCs w:val="32"/>
        </w:rPr>
        <w:t>（一）研究背景、意义（</w:t>
      </w:r>
      <w:r>
        <w:rPr>
          <w:rFonts w:ascii="楷体" w:eastAsia="楷体" w:hAnsi="楷体"/>
          <w:sz w:val="28"/>
          <w:szCs w:val="28"/>
        </w:rPr>
        <w:t>限2000字，包括参考文献</w:t>
      </w:r>
      <w:r>
        <w:rPr>
          <w:rFonts w:ascii="楷体" w:eastAsia="楷体" w:hAnsi="楷体"/>
          <w:color w:val="2F5496"/>
          <w:sz w:val="32"/>
          <w:szCs w:val="32"/>
        </w:rPr>
        <w:t>）</w:t>
      </w:r>
      <w:commentRangeEnd w:id="0"/>
      <w:r w:rsidR="00333B71">
        <w:rPr>
          <w:rStyle w:val="ad"/>
          <w:rFonts w:ascii="楷体" w:eastAsia="楷体" w:hAnsi="楷体"/>
          <w:color w:val="2F5496"/>
          <w:sz w:val="32"/>
          <w:szCs w:val="32"/>
        </w:rPr>
        <w:commentReference w:id="0"/>
      </w:r>
    </w:p>
    <w:p w14:paraId="373AA1A5" w14:textId="6C8E6E18" w:rsidR="00333B71" w:rsidRPr="00333B71" w:rsidRDefault="00333B71" w:rsidP="00333B71">
      <w:pPr>
        <w:pStyle w:val="FirstParagraph"/>
        <w:spacing w:before="0" w:after="0" w:line="360" w:lineRule="auto"/>
        <w:ind w:firstLineChars="200" w:firstLine="480"/>
        <w:jc w:val="both"/>
        <w:rPr>
          <w:rFonts w:hint="eastAsia"/>
        </w:rPr>
      </w:pPr>
      <w:r w:rsidRPr="00333B71">
        <w:rPr>
          <w:rFonts w:hint="eastAsia"/>
        </w:rPr>
        <w:t>近年来，抗肿瘤全身性治疗所引发的癌症相关认知障碍（Cancer-related</w:t>
      </w:r>
      <w:r w:rsidRPr="00333B71">
        <w:t xml:space="preserve"> cognitive impairment, </w:t>
      </w:r>
      <w:r w:rsidRPr="00333B71">
        <w:rPr>
          <w:rFonts w:hint="eastAsia"/>
        </w:rPr>
        <w:t>CRCI）已成为严重损害患者生活质量与社会功能的重大临床问题。早在2011年，国际认知与癌症工作组（ICCTF）便在《The</w:t>
      </w:r>
      <w:r w:rsidRPr="00333B71">
        <w:t xml:space="preserve"> Lancet </w:t>
      </w:r>
      <w:r w:rsidRPr="00333B71">
        <w:rPr>
          <w:rFonts w:hint="eastAsia"/>
        </w:rPr>
        <w:t>Oncology》的重磅指南中明确指出：对于非中枢神经系统肿瘤，全身系统性治疗同样会引发显著的认知功能衰退，随着癌症发病率的上升与全身性药物使用的增加，阐明CRCI的发生率、轨迹及潜在机制已成为当前肿瘤学亟待攻克的重要研究问题</w:t>
      </w:r>
      <w:r w:rsidRPr="00333B71">
        <w:rPr>
          <w:vertAlign w:val="superscript"/>
        </w:rPr>
        <w:t>1</w:t>
      </w:r>
      <w:r w:rsidRPr="00333B71">
        <w:rPr>
          <w:rFonts w:hint="eastAsia"/>
        </w:rPr>
        <w:t>。当前，随着精准医学的飞速发展，癌症患者的生存期获得了空前延长。以晚期非小细胞肺癌（NSCLC）为例，新一代酪氨酸激酶抑制剂（TKIs）的应用已将其全面推入“慢病化”管理时代（中位总生存期已突破3至4年）</w:t>
      </w:r>
      <w:r w:rsidRPr="00333B71">
        <w:rPr>
          <w:vertAlign w:val="superscript"/>
        </w:rPr>
        <w:t>2</w:t>
      </w:r>
      <w:r w:rsidRPr="00333B71">
        <w:rPr>
          <w:rFonts w:hint="eastAsia"/>
        </w:rPr>
        <w:t>。生存期的显著延长使得这一庞大幸存者群体的重返社会需求日益凸显</w:t>
      </w:r>
      <w:r w:rsidR="00645CD5" w:rsidRPr="00333B71">
        <w:rPr>
          <w:vertAlign w:val="superscript"/>
        </w:rPr>
        <w:t xml:space="preserve"> </w:t>
      </w:r>
      <w:r w:rsidRPr="00333B71">
        <w:rPr>
          <w:vertAlign w:val="superscript"/>
        </w:rPr>
        <w:t>3</w:t>
      </w:r>
      <w:r w:rsidRPr="00333B71">
        <w:t>。</w:t>
      </w:r>
    </w:p>
    <w:p w14:paraId="06C938D9" w14:textId="3D1A656A" w:rsidR="00030FA2" w:rsidRDefault="00333B71" w:rsidP="000B072C">
      <w:pPr>
        <w:pStyle w:val="a3"/>
        <w:spacing w:line="360" w:lineRule="auto"/>
        <w:ind w:firstLineChars="200" w:firstLine="480"/>
        <w:jc w:val="both"/>
        <w:rPr>
          <w:rFonts w:ascii="华文楷体" w:eastAsia="华文楷体" w:hAnsi="华文楷体" w:hint="default"/>
        </w:rPr>
      </w:pPr>
      <w:r w:rsidRPr="00333B71">
        <w:rPr>
          <w:rFonts w:ascii="华文楷体" w:eastAsia="华文楷体" w:hAnsi="华文楷体"/>
        </w:rPr>
        <w:t>CRCI主要表现为记忆力减退、注意力缺陷及执行功能受损。最新荟萃分析显示，肺癌幸存者客观CRCI发生率约为26%</w:t>
      </w:r>
      <w:r w:rsidRPr="00333B71">
        <w:rPr>
          <w:rFonts w:ascii="华文楷体" w:eastAsia="华文楷体" w:hAnsi="华文楷体"/>
          <w:vertAlign w:val="superscript"/>
        </w:rPr>
        <w:t>4</w:t>
      </w:r>
      <w:r w:rsidR="00030FA2">
        <w:rPr>
          <w:rFonts w:ascii="华文楷体" w:eastAsia="华文楷体" w:hAnsi="华文楷体"/>
        </w:rPr>
        <w:t>，</w:t>
      </w:r>
      <w:r w:rsidRPr="00333B71">
        <w:rPr>
          <w:rFonts w:ascii="华文楷体" w:eastAsia="华文楷体" w:hAnsi="华文楷体"/>
        </w:rPr>
        <w:t>主观认知功能减退比例可</w:t>
      </w:r>
      <w:r w:rsidR="00030FA2">
        <w:rPr>
          <w:rFonts w:ascii="华文楷体" w:eastAsia="华文楷体" w:hAnsi="华文楷体"/>
        </w:rPr>
        <w:t>高</w:t>
      </w:r>
      <w:r w:rsidRPr="00333B71">
        <w:rPr>
          <w:rFonts w:ascii="华文楷体" w:eastAsia="华文楷体" w:hAnsi="华文楷体"/>
        </w:rPr>
        <w:t>达50%至75%</w:t>
      </w:r>
      <w:r w:rsidRPr="00333B71">
        <w:rPr>
          <w:rFonts w:ascii="华文楷体" w:eastAsia="华文楷体" w:hAnsi="华文楷体"/>
          <w:vertAlign w:val="superscript"/>
        </w:rPr>
        <w:t>3</w:t>
      </w:r>
      <w:r w:rsidRPr="00333B71">
        <w:rPr>
          <w:rFonts w:ascii="华文楷体" w:eastAsia="华文楷体" w:hAnsi="华文楷体"/>
        </w:rPr>
        <w:t>。认知功能障碍不仅削弱了显著降低了其独立生活能力与整体生存质量（QoL）</w:t>
      </w:r>
      <w:r w:rsidR="00030FA2">
        <w:rPr>
          <w:rFonts w:ascii="华文楷体" w:eastAsia="华文楷体" w:hAnsi="华文楷体"/>
        </w:rPr>
        <w:t>，</w:t>
      </w:r>
      <w:r w:rsidRPr="00333B71">
        <w:rPr>
          <w:rFonts w:ascii="华文楷体" w:eastAsia="华文楷体" w:hAnsi="华文楷体"/>
        </w:rPr>
        <w:t>更可能与抗肿瘤治疗的远期预后密切相关。</w:t>
      </w:r>
      <w:r w:rsidR="00030FA2" w:rsidRPr="00030FA2">
        <w:rPr>
          <w:rFonts w:ascii="华文楷体" w:eastAsia="华文楷体" w:hAnsi="华文楷体"/>
        </w:rPr>
        <w:t>最新队列研究显示，接受一线靶向治疗的晚期NSCLC患者中，伴有认知障碍者的客观缓解率及无进展生存期均显著劣于无认知障碍者</w:t>
      </w:r>
      <w:r w:rsidRPr="00333B71">
        <w:rPr>
          <w:rFonts w:ascii="华文楷体" w:eastAsia="华文楷体" w:hAnsi="华文楷体"/>
          <w:vertAlign w:val="superscript"/>
        </w:rPr>
        <w:t>5</w:t>
      </w:r>
      <w:r w:rsidRPr="00333B71">
        <w:rPr>
          <w:rFonts w:ascii="华文楷体" w:eastAsia="华文楷体" w:hAnsi="华文楷体"/>
        </w:rPr>
        <w:t>。这一现象深刻提示：CRCI并非独立于肿瘤之外的伴随症状，其不仅是神经毒性的表型，更可能作为全身炎症或微环境失调的生物标志物，直接影响靶向治疗的临床获益。</w:t>
      </w:r>
      <w:r w:rsidR="00030FA2" w:rsidRPr="00030FA2">
        <w:rPr>
          <w:rFonts w:ascii="华文楷体" w:eastAsia="华文楷体" w:hAnsi="华文楷体"/>
        </w:rPr>
        <w:t> 尽管如此，当前临床高度聚焦于肿瘤病灶控制，对CRCI缺乏常规早期筛查与客观预警路径，导致这一庞大群体处于“无评估、无干预”的盲区。</w:t>
      </w:r>
    </w:p>
    <w:p w14:paraId="3735DC14" w14:textId="696997B8" w:rsidR="00333B71" w:rsidRPr="00333B71" w:rsidRDefault="00333B71" w:rsidP="000B072C">
      <w:pPr>
        <w:pStyle w:val="a3"/>
        <w:spacing w:line="360" w:lineRule="auto"/>
        <w:ind w:firstLineChars="200" w:firstLine="480"/>
        <w:jc w:val="both"/>
        <w:rPr>
          <w:rFonts w:ascii="华文楷体" w:eastAsia="华文楷体" w:hAnsi="华文楷体"/>
        </w:rPr>
      </w:pPr>
      <w:r w:rsidRPr="00333B71">
        <w:rPr>
          <w:rFonts w:ascii="华文楷体" w:eastAsia="华文楷体" w:hAnsi="华文楷体"/>
        </w:rPr>
        <w:t>传统系统性化疗的神经毒性已被初步证实可造成脑结构萎缩与大尺度功能脑网络失代偿。</w:t>
      </w:r>
      <w:r w:rsidR="000B072C">
        <w:rPr>
          <w:rFonts w:ascii="华文楷体" w:eastAsia="华文楷体" w:hAnsi="华文楷体"/>
        </w:rPr>
        <w:t>例如，</w:t>
      </w:r>
      <w:r w:rsidRPr="00333B71">
        <w:rPr>
          <w:rFonts w:ascii="华文楷体" w:eastAsia="华文楷体" w:hAnsi="华文楷体"/>
        </w:rPr>
        <w:t>接受铂类化疗的肺癌患者在DMN内部存在广泛的连通性减低</w:t>
      </w:r>
      <w:r w:rsidR="000B072C">
        <w:rPr>
          <w:rFonts w:ascii="华文楷体" w:eastAsia="华文楷体" w:hAnsi="华文楷体"/>
        </w:rPr>
        <w:t>，</w:t>
      </w:r>
      <w:r w:rsidRPr="00333B71">
        <w:rPr>
          <w:rFonts w:ascii="华文楷体" w:eastAsia="华文楷体" w:hAnsi="华文楷体"/>
        </w:rPr>
        <w:t>PCC与双侧ACC间功能连接的受损程度与蒙特利尔认知评估量表（MoCA）评分呈显著正相关</w:t>
      </w:r>
      <w:r w:rsidR="000B072C" w:rsidRPr="00333B71">
        <w:rPr>
          <w:rFonts w:ascii="华文楷体" w:eastAsia="华文楷体" w:hAnsi="华文楷体"/>
          <w:vertAlign w:val="superscript"/>
        </w:rPr>
        <w:t xml:space="preserve"> </w:t>
      </w:r>
      <w:r w:rsidRPr="00333B71">
        <w:rPr>
          <w:rFonts w:ascii="华文楷体" w:eastAsia="华文楷体" w:hAnsi="华文楷体"/>
          <w:vertAlign w:val="superscript"/>
        </w:rPr>
        <w:t>6</w:t>
      </w:r>
      <w:r w:rsidRPr="00333B71">
        <w:rPr>
          <w:rFonts w:ascii="华文楷体" w:eastAsia="华文楷体" w:hAnsi="华文楷体"/>
        </w:rPr>
        <w:t>。小细胞肺癌（SCLC）患者的纵向研究</w:t>
      </w:r>
      <w:r w:rsidR="000B072C">
        <w:rPr>
          <w:rFonts w:ascii="华文楷体" w:eastAsia="华文楷体" w:hAnsi="华文楷体"/>
        </w:rPr>
        <w:t>提示</w:t>
      </w:r>
      <w:r w:rsidRPr="00333B71">
        <w:rPr>
          <w:rFonts w:ascii="华文楷体" w:eastAsia="华文楷体" w:hAnsi="华文楷体"/>
        </w:rPr>
        <w:t>系统性化疗</w:t>
      </w:r>
      <w:r w:rsidR="000B072C">
        <w:rPr>
          <w:rFonts w:ascii="华文楷体" w:eastAsia="华文楷体" w:hAnsi="华文楷体"/>
        </w:rPr>
        <w:t>造成</w:t>
      </w:r>
      <w:r w:rsidRPr="00333B71">
        <w:rPr>
          <w:rFonts w:ascii="华文楷体" w:eastAsia="华文楷体" w:hAnsi="华文楷体"/>
        </w:rPr>
        <w:t>双侧旁边缘整合区灰白质结构发生显著异常</w:t>
      </w:r>
      <w:r w:rsidR="000B072C">
        <w:rPr>
          <w:rFonts w:ascii="华文楷体" w:eastAsia="华文楷体" w:hAnsi="华文楷体"/>
        </w:rPr>
        <w:t>、</w:t>
      </w:r>
      <w:r w:rsidRPr="00333B71">
        <w:rPr>
          <w:rFonts w:ascii="华文楷体" w:eastAsia="华文楷体" w:hAnsi="华文楷体"/>
        </w:rPr>
        <w:t>宏观脑体积的整体萎缩</w:t>
      </w:r>
      <w:r w:rsidRPr="00333B71">
        <w:rPr>
          <w:rFonts w:ascii="华文楷体" w:eastAsia="华文楷体" w:hAnsi="华文楷体"/>
          <w:vertAlign w:val="superscript"/>
        </w:rPr>
        <w:t>7</w:t>
      </w:r>
      <w:r w:rsidR="000B072C">
        <w:rPr>
          <w:rFonts w:ascii="华文楷体" w:eastAsia="华文楷体" w:hAnsi="华文楷体"/>
        </w:rPr>
        <w:t>；</w:t>
      </w:r>
      <w:r w:rsidRPr="00333B71">
        <w:rPr>
          <w:rFonts w:ascii="华文楷体" w:eastAsia="华文楷体" w:hAnsi="华文楷体"/>
        </w:rPr>
        <w:t>默认模式网络及任务正向网络的功能连接发生明显破坏</w:t>
      </w:r>
      <w:r w:rsidRPr="00333B71">
        <w:rPr>
          <w:rFonts w:ascii="华文楷体" w:eastAsia="华文楷体" w:hAnsi="华文楷体"/>
          <w:vertAlign w:val="superscript"/>
        </w:rPr>
        <w:t>8</w:t>
      </w:r>
      <w:r w:rsidRPr="00333B71">
        <w:rPr>
          <w:rFonts w:ascii="华文楷体" w:eastAsia="华文楷体" w:hAnsi="华文楷体"/>
        </w:rPr>
        <w:t>。针对NSCLC群体，</w:t>
      </w:r>
      <w:r w:rsidRPr="00333B71">
        <w:rPr>
          <w:rFonts w:ascii="华文楷体" w:eastAsia="华文楷体" w:hAnsi="华文楷体"/>
        </w:rPr>
        <w:lastRenderedPageBreak/>
        <w:t>化疗后前额叶皮层、岛叶及尾状核等认知核心节点的局部功能发生异常</w:t>
      </w:r>
      <w:r w:rsidRPr="00333B71">
        <w:rPr>
          <w:rFonts w:ascii="华文楷体" w:eastAsia="华文楷体" w:hAnsi="华文楷体"/>
          <w:vertAlign w:val="superscript"/>
        </w:rPr>
        <w:t>9</w:t>
      </w:r>
      <w:r w:rsidRPr="00333B71">
        <w:rPr>
          <w:rFonts w:ascii="华文楷体" w:eastAsia="华文楷体" w:hAnsi="华文楷体"/>
        </w:rPr>
        <w:t>；同时，Simó等进一步证实，肺癌患者认知功能缺陷的严重程度，与DMN的连通性以及左侧前颞叶网络的连接强度呈显著负相关</w:t>
      </w:r>
      <w:r w:rsidR="000B072C" w:rsidRPr="00333B71">
        <w:rPr>
          <w:rFonts w:ascii="华文楷体" w:eastAsia="华文楷体" w:hAnsi="华文楷体"/>
          <w:vertAlign w:val="superscript"/>
        </w:rPr>
        <w:t>10</w:t>
      </w:r>
      <w:r w:rsidRPr="00333B71">
        <w:rPr>
          <w:rFonts w:ascii="华文楷体" w:eastAsia="华文楷体" w:hAnsi="华文楷体"/>
        </w:rPr>
        <w:t>。利用动态对比增强磁共振成像，Zhang等人</w:t>
      </w:r>
      <w:r w:rsidR="000B072C">
        <w:rPr>
          <w:rFonts w:ascii="华文楷体" w:eastAsia="华文楷体" w:hAnsi="华文楷体"/>
        </w:rPr>
        <w:t>报导</w:t>
      </w:r>
      <w:r w:rsidRPr="00333B71">
        <w:rPr>
          <w:rFonts w:ascii="华文楷体" w:eastAsia="华文楷体" w:hAnsi="华文楷体"/>
        </w:rPr>
        <w:t>无脑转移的肺癌患者认知功能变化与血脑屏障（BBB）渗漏率增高有显著相关性，提示全身系统性治疗或肿瘤自身引起的系统性炎症可能诱发了早期中枢微环境的恶化</w:t>
      </w:r>
      <w:r w:rsidRPr="00333B71">
        <w:rPr>
          <w:rFonts w:ascii="华文楷体" w:eastAsia="华文楷体" w:hAnsi="华文楷体"/>
          <w:vertAlign w:val="superscript"/>
        </w:rPr>
        <w:t>11</w:t>
      </w:r>
      <w:r w:rsidRPr="00333B71">
        <w:rPr>
          <w:rFonts w:ascii="华文楷体" w:eastAsia="华文楷体" w:hAnsi="华文楷体"/>
        </w:rPr>
        <w:t>。</w:t>
      </w:r>
      <w:r w:rsidR="000B072C">
        <w:rPr>
          <w:rFonts w:ascii="华文楷体" w:eastAsia="华文楷体" w:hAnsi="华文楷体"/>
        </w:rPr>
        <w:t>而</w:t>
      </w:r>
      <w:r w:rsidRPr="00333B71">
        <w:rPr>
          <w:rFonts w:ascii="华文楷体" w:eastAsia="华文楷体" w:hAnsi="华文楷体"/>
        </w:rPr>
        <w:t>针对靶向治疗神经毒性的探索才刚刚起步</w:t>
      </w:r>
      <w:r w:rsidR="000B072C">
        <w:rPr>
          <w:rFonts w:ascii="华文楷体" w:eastAsia="华文楷体" w:hAnsi="华文楷体"/>
        </w:rPr>
        <w:t>，目前仅一篇研究报导</w:t>
      </w:r>
      <w:r w:rsidRPr="00333B71">
        <w:rPr>
          <w:rFonts w:ascii="华文楷体" w:eastAsia="华文楷体" w:hAnsi="华文楷体"/>
        </w:rPr>
        <w:t>研究了长期接受表皮生长因子受体酪氨酸激酶抑制剂（EGFR-TKI）治疗的NSCLC患者白质病变显著增加，右侧枕叶、左侧枕叶和左侧基底节灰质体积显著减</w:t>
      </w:r>
      <w:r w:rsidR="000B072C">
        <w:rPr>
          <w:rFonts w:ascii="华文楷体" w:eastAsia="华文楷体" w:hAnsi="华文楷体"/>
        </w:rPr>
        <w:t>少</w:t>
      </w:r>
      <w:r w:rsidRPr="00333B71">
        <w:rPr>
          <w:rFonts w:ascii="华文楷体" w:eastAsia="华文楷体" w:hAnsi="华文楷体"/>
          <w:vertAlign w:val="superscript"/>
        </w:rPr>
        <w:t>12</w:t>
      </w:r>
      <w:r w:rsidRPr="00333B71">
        <w:rPr>
          <w:rFonts w:ascii="华文楷体" w:eastAsia="华文楷体" w:hAnsi="华文楷体"/>
        </w:rPr>
        <w:t>。</w:t>
      </w:r>
    </w:p>
    <w:p w14:paraId="4E1A2075" w14:textId="6D5751E9" w:rsidR="000B072C" w:rsidRPr="000B072C" w:rsidRDefault="00333B71" w:rsidP="000B072C">
      <w:pPr>
        <w:pStyle w:val="a3"/>
        <w:spacing w:line="360" w:lineRule="auto"/>
        <w:ind w:firstLineChars="200" w:firstLine="480"/>
        <w:jc w:val="both"/>
        <w:rPr>
          <w:rFonts w:ascii="华文楷体" w:eastAsia="华文楷体" w:hAnsi="华文楷体"/>
        </w:rPr>
      </w:pPr>
      <w:r w:rsidRPr="00333B71">
        <w:rPr>
          <w:rFonts w:ascii="华文楷体" w:eastAsia="华文楷体" w:hAnsi="华文楷体"/>
        </w:rPr>
        <w:t>尽管上述神经影像学机制研究为理解肺癌CRCI提供了重要的理论依据，但将这些科研成果向真实世界临床转化时，仍面临着以下问题：</w:t>
      </w:r>
      <w:r w:rsidR="000B072C" w:rsidRPr="000B072C">
        <w:rPr>
          <w:rFonts w:ascii="华文楷体" w:eastAsia="华文楷体" w:hAnsi="华文楷体"/>
          <w:b/>
          <w:bCs/>
        </w:rPr>
        <w:t>第一，治疗模式维度的系统性纵向证据不足。</w:t>
      </w:r>
      <w:r w:rsidR="000B072C" w:rsidRPr="000B072C">
        <w:rPr>
          <w:rFonts w:ascii="华文楷体" w:eastAsia="华文楷体" w:hAnsi="华文楷体"/>
        </w:rPr>
        <w:t> 现有高质量影像研究多局限于传统化疗人群的横断面或短时期随访。不同抗肿瘤路径对中枢神经系统的潜在毒性机制存在异质性，</w:t>
      </w:r>
      <w:r w:rsidR="000B072C" w:rsidRPr="00333B71">
        <w:rPr>
          <w:rFonts w:ascii="华文楷体" w:eastAsia="华文楷体" w:hAnsi="华文楷体"/>
        </w:rPr>
        <w:t>目前仍缺乏涵盖多治疗模式的综合性、系统性纵向研究，导致无法精准描绘不同干预措施下CRCI的演变轨迹与特定神经影像学表型。</w:t>
      </w:r>
      <w:r w:rsidR="000B072C" w:rsidRPr="000B072C">
        <w:rPr>
          <w:rFonts w:ascii="华文楷体" w:eastAsia="华文楷体" w:hAnsi="华文楷体"/>
          <w:b/>
          <w:bCs/>
        </w:rPr>
        <w:t>第二，科研级影像与临床常规数据存在转化脱节。</w:t>
      </w:r>
      <w:r w:rsidR="000B072C" w:rsidRPr="000B072C">
        <w:rPr>
          <w:rFonts w:ascii="华文楷体" w:eastAsia="华文楷体" w:hAnsi="华文楷体"/>
        </w:rPr>
        <w:t> 既往揭示CRCI微小结构异常的研究，几乎全部依赖前瞻性采集的高分辨率多模态MRI（如3D-T1）。然而，真实临床随访中，肺癌患者排查脑转移多采用大层厚（5-7mm）、低分辨率的常规MRI。传统脑形态学分析软件（如FreeSurfer）无法处理此类数据，导致海量的真实世界随访数据无法转化为评估脑健康的客观量化指标。</w:t>
      </w:r>
    </w:p>
    <w:p w14:paraId="2848C69B" w14:textId="798CC9FE" w:rsidR="00333B71" w:rsidRDefault="00333B71" w:rsidP="00333B71">
      <w:pPr>
        <w:pStyle w:val="a3"/>
        <w:spacing w:line="360" w:lineRule="auto"/>
        <w:ind w:firstLineChars="200" w:firstLine="480"/>
        <w:jc w:val="both"/>
        <w:rPr>
          <w:rFonts w:ascii="华文楷体" w:eastAsia="华文楷体" w:hAnsi="华文楷体" w:hint="default"/>
        </w:rPr>
      </w:pPr>
      <w:r w:rsidRPr="00333B71">
        <w:rPr>
          <w:rFonts w:ascii="华文楷体" w:eastAsia="华文楷体" w:hAnsi="华文楷体"/>
        </w:rPr>
        <w:t>针对上述临床常规影像无法被有效利用的转化瓶颈，本项目拟引入由哈佛大学 Martinos 生物医学成像中心开发的跨模态脑影像自动化分割算法——</w:t>
      </w:r>
      <w:r w:rsidRPr="00333B71">
        <w:rPr>
          <w:rFonts w:ascii="华文楷体" w:eastAsia="华文楷体" w:hAnsi="华文楷体"/>
          <w:i/>
          <w:iCs/>
        </w:rPr>
        <w:t>SynthSeg</w:t>
      </w:r>
      <w:r w:rsidRPr="00333B71">
        <w:rPr>
          <w:rFonts w:ascii="华文楷体" w:eastAsia="华文楷体" w:hAnsi="华文楷体"/>
        </w:rPr>
        <w:t xml:space="preserve"> </w:t>
      </w:r>
      <w:r w:rsidRPr="00333B71">
        <w:rPr>
          <w:rFonts w:ascii="华文楷体" w:eastAsia="华文楷体" w:hAnsi="华文楷体"/>
          <w:vertAlign w:val="superscript"/>
        </w:rPr>
        <w:t>13</w:t>
      </w:r>
      <w:r w:rsidR="00030FA2" w:rsidRPr="00030FA2">
        <w:rPr>
          <w:rFonts w:ascii="华文楷体" w:eastAsia="华文楷体" w:hAnsi="华文楷体"/>
          <w:vertAlign w:val="superscript"/>
        </w:rPr>
        <w:t>,</w:t>
      </w:r>
      <w:r w:rsidRPr="00333B71">
        <w:rPr>
          <w:rFonts w:ascii="华文楷体" w:eastAsia="华文楷体" w:hAnsi="华文楷体"/>
          <w:vertAlign w:val="superscript"/>
        </w:rPr>
        <w:t>14</w:t>
      </w:r>
      <w:r w:rsidRPr="00333B71">
        <w:rPr>
          <w:rFonts w:ascii="华文楷体" w:eastAsia="华文楷体" w:hAnsi="华文楷体"/>
        </w:rPr>
        <w:t>。 SynthSeg 是一种“域无关”的卷积神经网络（CNN），能够在无需重新训练或微调的情况下，直接分割任何对比度和分辨率的脑部扫描图像</w:t>
      </w:r>
      <w:r w:rsidR="00645CD5">
        <w:rPr>
          <w:rFonts w:ascii="华文楷体" w:eastAsia="华文楷体" w:hAnsi="华文楷体"/>
        </w:rPr>
        <w:t>，</w:t>
      </w:r>
      <w:r w:rsidRPr="00333B71">
        <w:rPr>
          <w:rFonts w:ascii="华文楷体" w:eastAsia="华文楷体" w:hAnsi="华文楷体"/>
        </w:rPr>
        <w:t>使得 SynthSeg 能够完美适应肿瘤临床随访中常见的大层厚（5-7mm）、多序列（T1、T2、FLAIR）及低信噪比的“非标”常规数据</w:t>
      </w:r>
      <w:r w:rsidR="00645CD5">
        <w:rPr>
          <w:rFonts w:ascii="华文楷体" w:eastAsia="华文楷体" w:hAnsi="华文楷体"/>
        </w:rPr>
        <w:t>（图1）</w:t>
      </w:r>
      <w:r w:rsidRPr="00333B71">
        <w:rPr>
          <w:rFonts w:ascii="华文楷体" w:eastAsia="华文楷体" w:hAnsi="华文楷体"/>
        </w:rPr>
        <w:t>。在包含 5000 例多模态数据的验证中</w:t>
      </w:r>
      <w:r w:rsidR="00030FA2">
        <w:rPr>
          <w:rFonts w:ascii="华文楷体" w:eastAsia="华文楷体" w:hAnsi="华文楷体"/>
        </w:rPr>
        <w:t>，该模型展示了</w:t>
      </w:r>
      <w:r w:rsidRPr="00333B71">
        <w:rPr>
          <w:rFonts w:ascii="华文楷体" w:eastAsia="华文楷体" w:hAnsi="华文楷体"/>
        </w:rPr>
        <w:t>优越的泛化能力；在从 1mm 高分辨过渡到 7mm 大层厚临床扫描时，其分割精度（Dice系数）平均仅微降 3.8 个点</w:t>
      </w:r>
      <w:r w:rsidR="00030FA2" w:rsidRPr="00333B71">
        <w:rPr>
          <w:rFonts w:ascii="华文楷体" w:eastAsia="华文楷体" w:hAnsi="华文楷体"/>
          <w:vertAlign w:val="superscript"/>
        </w:rPr>
        <w:t xml:space="preserve"> </w:t>
      </w:r>
      <w:r w:rsidRPr="00333B71">
        <w:rPr>
          <w:rFonts w:ascii="华文楷体" w:eastAsia="华文楷体" w:hAnsi="华文楷体"/>
          <w:vertAlign w:val="superscript"/>
        </w:rPr>
        <w:t>14</w:t>
      </w:r>
      <w:r w:rsidRPr="00333B71">
        <w:rPr>
          <w:rFonts w:ascii="华文楷体" w:eastAsia="华文楷体" w:hAnsi="华文楷体"/>
        </w:rPr>
        <w:t>。在针对 14,752 例高度异质性临床扫描的 MGH 老龄化研究中，SynthSeg 成功</w:t>
      </w:r>
      <w:r w:rsidR="00030FA2">
        <w:rPr>
          <w:rFonts w:ascii="华文楷体" w:eastAsia="华文楷体" w:hAnsi="华文楷体"/>
        </w:rPr>
        <w:t>复现</w:t>
      </w:r>
      <w:r w:rsidRPr="00333B71">
        <w:rPr>
          <w:rFonts w:ascii="华文楷体" w:eastAsia="华文楷体" w:hAnsi="华文楷体"/>
        </w:rPr>
        <w:t>了研究级纵向队列中观察到的脑萎缩模式；在阿尔茨海默病（AD）队列中，即使面对传统FreeSurfer 无法处理的 5mm 层厚的临床</w:t>
      </w:r>
      <w:r w:rsidRPr="00333B71">
        <w:rPr>
          <w:rFonts w:ascii="华文楷体" w:eastAsia="华文楷体" w:hAnsi="华文楷体"/>
        </w:rPr>
        <w:lastRenderedPageBreak/>
        <w:t>常规 T2-FLAIR 影像，SynthSeg 依然能精准捕捉到海马萎缩的生物学信号（效应量高达 1.20）</w:t>
      </w:r>
      <w:r w:rsidRPr="00333B71">
        <w:rPr>
          <w:rFonts w:ascii="华文楷体" w:eastAsia="华文楷体" w:hAnsi="华文楷体"/>
          <w:vertAlign w:val="superscript"/>
        </w:rPr>
        <w:t>14</w:t>
      </w:r>
      <w:r w:rsidRPr="00333B71">
        <w:rPr>
          <w:rFonts w:ascii="华文楷体" w:eastAsia="华文楷体" w:hAnsi="华文楷体"/>
        </w:rPr>
        <w:t>。</w:t>
      </w:r>
    </w:p>
    <w:p w14:paraId="35AC058B" w14:textId="6FB1F2D6" w:rsidR="00645CD5" w:rsidRDefault="00645CD5" w:rsidP="00645CD5">
      <w:pPr>
        <w:pStyle w:val="a3"/>
        <w:spacing w:line="360" w:lineRule="auto"/>
        <w:rPr>
          <w:rFonts w:ascii="华文楷体" w:eastAsia="华文楷体" w:hAnsi="华文楷体" w:hint="default"/>
        </w:rPr>
      </w:pPr>
      <w:r>
        <w:rPr>
          <w:noProof/>
        </w:rPr>
        <w:drawing>
          <wp:inline distT="0" distB="0" distL="0" distR="0" wp14:anchorId="18BDFAF9" wp14:editId="2F483B5D">
            <wp:extent cx="6191250" cy="4038600"/>
            <wp:effectExtent l="0" t="0" r="0" b="0"/>
            <wp:docPr id="106877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72530" name=""/>
                    <pic:cNvPicPr/>
                  </pic:nvPicPr>
                  <pic:blipFill>
                    <a:blip r:embed="rId12"/>
                    <a:stretch>
                      <a:fillRect/>
                    </a:stretch>
                  </pic:blipFill>
                  <pic:spPr>
                    <a:xfrm>
                      <a:off x="0" y="0"/>
                      <a:ext cx="6191250" cy="4038600"/>
                    </a:xfrm>
                    <a:prstGeom prst="rect">
                      <a:avLst/>
                    </a:prstGeom>
                  </pic:spPr>
                </pic:pic>
              </a:graphicData>
            </a:graphic>
          </wp:inline>
        </w:drawing>
      </w:r>
    </w:p>
    <w:p w14:paraId="3FF422D4" w14:textId="7F99BC42" w:rsidR="00645CD5" w:rsidRPr="00333B71" w:rsidRDefault="00645CD5" w:rsidP="00645CD5">
      <w:pPr>
        <w:pStyle w:val="a3"/>
        <w:spacing w:line="360" w:lineRule="auto"/>
        <w:rPr>
          <w:rFonts w:ascii="华文楷体" w:eastAsia="华文楷体" w:hAnsi="华文楷体"/>
        </w:rPr>
      </w:pPr>
      <w:r>
        <w:rPr>
          <w:rFonts w:ascii="华文楷体" w:eastAsia="华文楷体" w:hAnsi="华文楷体"/>
        </w:rPr>
        <w:t>图1</w:t>
      </w:r>
      <w:r w:rsidRPr="00645CD5">
        <w:rPr>
          <w:rFonts w:ascii="华文楷体" w:eastAsia="华文楷体" w:hAnsi="华文楷体"/>
        </w:rPr>
        <w:t>. SynthSeg+ 架构与运行示例。 展示了基于 CNN 的推理流程及不同质量图像的处理结果。其中包括去噪模块对分割错误的修正过程，以及自动质量控制（QC）模块对低质量图像的识别功能。</w:t>
      </w:r>
    </w:p>
    <w:p w14:paraId="0AF7EBE6" w14:textId="77777777" w:rsidR="00333B71" w:rsidRDefault="00333B71" w:rsidP="00333B71">
      <w:pPr>
        <w:pStyle w:val="a3"/>
        <w:spacing w:line="360" w:lineRule="auto"/>
        <w:ind w:firstLineChars="200" w:firstLine="480"/>
        <w:jc w:val="both"/>
        <w:rPr>
          <w:rFonts w:ascii="华文楷体" w:eastAsia="华文楷体" w:hAnsi="华文楷体"/>
        </w:rPr>
      </w:pPr>
      <w:r w:rsidRPr="00333B71">
        <w:rPr>
          <w:rFonts w:ascii="华文楷体" w:eastAsia="华文楷体" w:hAnsi="华文楷体"/>
          <w:b/>
          <w:bCs/>
        </w:rPr>
        <w:t>对本项目而言，SynthSeg 的引入具有破局式的转化价值。</w:t>
      </w:r>
      <w:r w:rsidRPr="00333B71">
        <w:rPr>
          <w:rFonts w:ascii="华文楷体" w:eastAsia="华文楷体" w:hAnsi="华文楷体"/>
        </w:rPr>
        <w:t> 它将彻底打破传统 CRCI 影像学研究高度依赖前瞻性、小样本、高分辨率 MRI 的局限，使我们能够深度挖掘海量的肺癌治疗患者常规复查存量 MRI 数据。本项目将通过SynthSeg技术提取精准的纵向脑形态学指标，建立其与临床常规影像与 CRCI 认知表型之间的客观映射，将大样本临床常规MRI提取的宏观结构指标，与小样本前瞻性研究级多模态数据进行交叉验证与对接。这不仅大幅提升了海量异质性临床数据的可重复利用性，有望打通一条</w:t>
      </w:r>
      <w:r w:rsidRPr="00333B71">
        <w:rPr>
          <w:rFonts w:ascii="华文楷体" w:eastAsia="华文楷体" w:hAnsi="华文楷体"/>
          <w:b/>
          <w:bCs/>
        </w:rPr>
        <w:t>“常规影像监测预警 → 多模态表型锚定 → 深层机制解析”</w:t>
      </w:r>
      <w:r w:rsidRPr="00333B71">
        <w:rPr>
          <w:rFonts w:ascii="华文楷体" w:eastAsia="华文楷体" w:hAnsi="华文楷体"/>
        </w:rPr>
        <w:t>的完整研究链条，最终形成一种可广泛推广的低输入CRCI风险评估模型。本研究将为在常规肿瘤随访中并行纳入“脑健康”维度提供低成本的客观指标储备。未来，这些早期预警指标亦可为经颅磁刺激（TMS）等无创神经调控干预提供精准的靶点与时间窗，</w:t>
      </w:r>
      <w:r w:rsidRPr="00333B71">
        <w:rPr>
          <w:rFonts w:ascii="华文楷体" w:eastAsia="华文楷体" w:hAnsi="华文楷体"/>
        </w:rPr>
        <w:lastRenderedPageBreak/>
        <w:t>真正推动肺癌幸存者从“单纯延长生存”向“全面功能康复”的临床管理模式跨越。</w:t>
      </w:r>
    </w:p>
    <w:p w14:paraId="38CED115" w14:textId="63317BF3" w:rsidR="00333B71" w:rsidRPr="00030FA2" w:rsidRDefault="00333B71" w:rsidP="00333B71">
      <w:pPr>
        <w:pStyle w:val="a3"/>
        <w:spacing w:line="360" w:lineRule="auto"/>
        <w:jc w:val="both"/>
        <w:rPr>
          <w:rFonts w:ascii="华文楷体" w:eastAsia="华文楷体" w:hAnsi="华文楷体"/>
          <w:b/>
          <w:bCs/>
        </w:rPr>
      </w:pPr>
      <w:r w:rsidRPr="00030FA2">
        <w:rPr>
          <w:rFonts w:ascii="华文楷体" w:eastAsia="华文楷体" w:hAnsi="华文楷体"/>
          <w:b/>
          <w:bCs/>
        </w:rPr>
        <w:t>参考文献</w:t>
      </w:r>
    </w:p>
    <w:p w14:paraId="642183E2" w14:textId="53E4512C" w:rsidR="00333B71" w:rsidRPr="00333B71" w:rsidRDefault="00333B71" w:rsidP="00333B71">
      <w:pPr>
        <w:pStyle w:val="aa"/>
        <w:spacing w:after="0" w:line="240" w:lineRule="atLeast"/>
        <w:ind w:left="480" w:hangingChars="200" w:hanging="480"/>
        <w:jc w:val="both"/>
        <w:rPr>
          <w:rFonts w:hint="eastAsia"/>
        </w:rPr>
      </w:pPr>
      <w:bookmarkStart w:id="1" w:name="Xd0b492a6685d568ae49c72b8635eb752e0c27a6"/>
      <w:bookmarkStart w:id="2" w:name="refs"/>
      <w:r w:rsidRPr="00333B71">
        <w:t xml:space="preserve">1. </w:t>
      </w:r>
      <w:r w:rsidRPr="00333B71">
        <w:tab/>
        <w:t xml:space="preserve">Wefel, J. S., Vardy, J., Ahles, T. &amp; Schagen, S. B. </w:t>
      </w:r>
      <w:r w:rsidRPr="00333B71">
        <w:rPr>
          <w:i/>
          <w:iCs/>
        </w:rPr>
        <w:t>The Lancet Oncology</w:t>
      </w:r>
      <w:r w:rsidRPr="00333B71">
        <w:t xml:space="preserve"> </w:t>
      </w:r>
      <w:r w:rsidRPr="00333B71">
        <w:rPr>
          <w:b/>
          <w:bCs/>
        </w:rPr>
        <w:t>12</w:t>
      </w:r>
      <w:r w:rsidRPr="00333B71">
        <w:t>, 703–708 (2011).</w:t>
      </w:r>
    </w:p>
    <w:p w14:paraId="74CD712E" w14:textId="790AF9DF" w:rsidR="00333B71" w:rsidRPr="00333B71" w:rsidRDefault="00333B71" w:rsidP="00333B71">
      <w:pPr>
        <w:pStyle w:val="aa"/>
        <w:spacing w:after="0" w:line="240" w:lineRule="atLeast"/>
        <w:ind w:left="480" w:hangingChars="200" w:hanging="480"/>
        <w:jc w:val="both"/>
        <w:rPr>
          <w:rFonts w:hint="eastAsia"/>
        </w:rPr>
      </w:pPr>
      <w:bookmarkStart w:id="3" w:name="ref-wronaManagementBrainMetastases2018"/>
      <w:bookmarkEnd w:id="1"/>
      <w:r w:rsidRPr="00333B71">
        <w:t xml:space="preserve">2. </w:t>
      </w:r>
      <w:r w:rsidRPr="00333B71">
        <w:tab/>
        <w:t xml:space="preserve">Wrona, A., Dziadziuszko, R. &amp; Jassem, J. </w:t>
      </w:r>
      <w:r w:rsidRPr="00333B71">
        <w:rPr>
          <w:i/>
          <w:iCs/>
        </w:rPr>
        <w:t>Cancer Treatment Reviews</w:t>
      </w:r>
      <w:r w:rsidRPr="00333B71">
        <w:t xml:space="preserve"> </w:t>
      </w:r>
      <w:r w:rsidRPr="00333B71">
        <w:rPr>
          <w:b/>
          <w:bCs/>
        </w:rPr>
        <w:t>71</w:t>
      </w:r>
      <w:r w:rsidRPr="00333B71">
        <w:t>, 59–67 (2018).</w:t>
      </w:r>
    </w:p>
    <w:p w14:paraId="087BEA20" w14:textId="3520C7A3" w:rsidR="00333B71" w:rsidRPr="00333B71" w:rsidRDefault="00333B71" w:rsidP="00333B71">
      <w:pPr>
        <w:pStyle w:val="aa"/>
        <w:spacing w:after="0" w:line="240" w:lineRule="atLeast"/>
        <w:ind w:left="480" w:hangingChars="200" w:hanging="480"/>
        <w:jc w:val="both"/>
        <w:rPr>
          <w:rFonts w:hint="eastAsia"/>
        </w:rPr>
      </w:pPr>
      <w:bookmarkStart w:id="4" w:name="ref-Lange2019Cancer"/>
      <w:bookmarkEnd w:id="3"/>
      <w:r w:rsidRPr="00333B71">
        <w:t xml:space="preserve">3. </w:t>
      </w:r>
      <w:r w:rsidRPr="00333B71">
        <w:tab/>
        <w:t xml:space="preserve">Lange, M. </w:t>
      </w:r>
      <w:r w:rsidRPr="00333B71">
        <w:rPr>
          <w:i/>
          <w:iCs/>
        </w:rPr>
        <w:t>et al.</w:t>
      </w:r>
      <w:r w:rsidRPr="00333B71">
        <w:t xml:space="preserve"> </w:t>
      </w:r>
      <w:r w:rsidRPr="00333B71">
        <w:rPr>
          <w:i/>
          <w:iCs/>
        </w:rPr>
        <w:t>Annals of Oncology</w:t>
      </w:r>
      <w:r w:rsidRPr="00333B71">
        <w:t xml:space="preserve"> </w:t>
      </w:r>
      <w:r w:rsidRPr="00333B71">
        <w:rPr>
          <w:b/>
          <w:bCs/>
        </w:rPr>
        <w:t>30</w:t>
      </w:r>
      <w:r w:rsidRPr="00333B71">
        <w:t>, 1925–1940 (2019).</w:t>
      </w:r>
    </w:p>
    <w:p w14:paraId="14D17D35" w14:textId="640166CA" w:rsidR="00333B71" w:rsidRPr="00333B71" w:rsidRDefault="00333B71" w:rsidP="00333B71">
      <w:pPr>
        <w:pStyle w:val="aa"/>
        <w:spacing w:after="0" w:line="240" w:lineRule="atLeast"/>
        <w:ind w:left="480" w:hangingChars="200" w:hanging="480"/>
        <w:jc w:val="both"/>
        <w:rPr>
          <w:rFonts w:hint="eastAsia"/>
        </w:rPr>
      </w:pPr>
      <w:bookmarkStart w:id="5" w:name="ref-Ho2024Prevalence"/>
      <w:bookmarkEnd w:id="4"/>
      <w:r w:rsidRPr="00333B71">
        <w:t xml:space="preserve">4. </w:t>
      </w:r>
      <w:r w:rsidRPr="00333B71">
        <w:tab/>
        <w:t xml:space="preserve">Ho, M., So, T. W., Fan, C. L., Chung, Y. T. &amp; Lin, C.-C. </w:t>
      </w:r>
      <w:r w:rsidRPr="00333B71">
        <w:rPr>
          <w:i/>
          <w:iCs/>
        </w:rPr>
        <w:t>Supportive Care in Cancer</w:t>
      </w:r>
      <w:r w:rsidRPr="00333B71">
        <w:t xml:space="preserve"> </w:t>
      </w:r>
    </w:p>
    <w:p w14:paraId="43BD1AD8" w14:textId="24D13C0F" w:rsidR="00333B71" w:rsidRPr="00333B71" w:rsidRDefault="00333B71" w:rsidP="00333B71">
      <w:pPr>
        <w:pStyle w:val="aa"/>
        <w:spacing w:after="0" w:line="240" w:lineRule="atLeast"/>
        <w:ind w:left="480" w:hangingChars="200" w:hanging="480"/>
        <w:jc w:val="both"/>
        <w:rPr>
          <w:rFonts w:hint="eastAsia"/>
        </w:rPr>
      </w:pPr>
      <w:bookmarkStart w:id="6" w:name="X43e17ebaf1543ae37b4e194f7d030aedc9a24f4"/>
      <w:bookmarkEnd w:id="5"/>
      <w:r w:rsidRPr="00333B71">
        <w:t xml:space="preserve">5. </w:t>
      </w:r>
      <w:r w:rsidRPr="00333B71">
        <w:tab/>
        <w:t xml:space="preserve">Chen, W. </w:t>
      </w:r>
      <w:r w:rsidRPr="00333B71">
        <w:rPr>
          <w:i/>
          <w:iCs/>
        </w:rPr>
        <w:t>et al.</w:t>
      </w:r>
      <w:r w:rsidRPr="00333B71">
        <w:t xml:space="preserve"> </w:t>
      </w:r>
      <w:r w:rsidRPr="00333B71">
        <w:rPr>
          <w:i/>
          <w:iCs/>
        </w:rPr>
        <w:t>JMIR Cancer</w:t>
      </w:r>
      <w:r w:rsidRPr="00333B71">
        <w:t xml:space="preserve"> </w:t>
      </w:r>
      <w:r w:rsidRPr="00333B71">
        <w:rPr>
          <w:b/>
          <w:bCs/>
        </w:rPr>
        <w:t>11</w:t>
      </w:r>
      <w:r w:rsidRPr="00333B71">
        <w:t>, e59647 (2025).</w:t>
      </w:r>
    </w:p>
    <w:p w14:paraId="48BB99F9" w14:textId="09F9DBC7" w:rsidR="00333B71" w:rsidRPr="00333B71" w:rsidRDefault="00333B71" w:rsidP="00333B71">
      <w:pPr>
        <w:pStyle w:val="aa"/>
        <w:spacing w:after="0" w:line="240" w:lineRule="atLeast"/>
        <w:ind w:left="480" w:hangingChars="200" w:hanging="480"/>
        <w:jc w:val="both"/>
        <w:rPr>
          <w:rFonts w:hint="eastAsia"/>
        </w:rPr>
      </w:pPr>
      <w:bookmarkStart w:id="7" w:name="X4b9f0827a74f44f33dee676da8a7c0cfcc3b55c"/>
      <w:bookmarkEnd w:id="6"/>
      <w:r w:rsidRPr="00333B71">
        <w:t xml:space="preserve">6. </w:t>
      </w:r>
      <w:r w:rsidRPr="00333B71">
        <w:tab/>
        <w:t xml:space="preserve">Zhang, Y. </w:t>
      </w:r>
      <w:r w:rsidRPr="00333B71">
        <w:rPr>
          <w:i/>
          <w:iCs/>
        </w:rPr>
        <w:t>et al.</w:t>
      </w:r>
      <w:r w:rsidRPr="00333B71">
        <w:t xml:space="preserve"> </w:t>
      </w:r>
      <w:r w:rsidRPr="00333B71">
        <w:rPr>
          <w:i/>
          <w:iCs/>
        </w:rPr>
        <w:t>Brain Imaging and Behavior</w:t>
      </w:r>
      <w:r w:rsidRPr="00333B71">
        <w:t xml:space="preserve"> </w:t>
      </w:r>
      <w:r w:rsidRPr="00333B71">
        <w:rPr>
          <w:b/>
          <w:bCs/>
        </w:rPr>
        <w:t>14</w:t>
      </w:r>
      <w:r w:rsidRPr="00333B71">
        <w:t>, 847–856 (2020).</w:t>
      </w:r>
    </w:p>
    <w:p w14:paraId="600EC690" w14:textId="517109FA" w:rsidR="00333B71" w:rsidRPr="00333B71" w:rsidRDefault="00333B71" w:rsidP="00333B71">
      <w:pPr>
        <w:pStyle w:val="aa"/>
        <w:spacing w:after="0" w:line="240" w:lineRule="atLeast"/>
        <w:ind w:left="480" w:hangingChars="200" w:hanging="480"/>
        <w:jc w:val="both"/>
        <w:rPr>
          <w:rFonts w:hint="eastAsia"/>
        </w:rPr>
      </w:pPr>
      <w:bookmarkStart w:id="8" w:name="Xb149378a1914162ef5f090e509bb2b1a46f670d"/>
      <w:bookmarkEnd w:id="7"/>
      <w:r w:rsidRPr="00333B71">
        <w:t xml:space="preserve">7. </w:t>
      </w:r>
      <w:r w:rsidRPr="00333B71">
        <w:tab/>
        <w:t xml:space="preserve">Simó, M. </w:t>
      </w:r>
      <w:r w:rsidRPr="00333B71">
        <w:rPr>
          <w:i/>
          <w:iCs/>
        </w:rPr>
        <w:t>et al.</w:t>
      </w:r>
      <w:r w:rsidRPr="00333B71">
        <w:t xml:space="preserve"> </w:t>
      </w:r>
      <w:r w:rsidRPr="00333B71">
        <w:rPr>
          <w:i/>
          <w:iCs/>
        </w:rPr>
        <w:t>Neurology</w:t>
      </w:r>
      <w:r w:rsidRPr="00333B71">
        <w:t xml:space="preserve"> </w:t>
      </w:r>
      <w:r w:rsidRPr="00333B71">
        <w:rPr>
          <w:b/>
          <w:bCs/>
        </w:rPr>
        <w:t>104</w:t>
      </w:r>
      <w:r w:rsidRPr="00333B71">
        <w:t>, e213651 (2025).</w:t>
      </w:r>
    </w:p>
    <w:p w14:paraId="31E46BBD" w14:textId="5D09A74E" w:rsidR="00333B71" w:rsidRPr="00333B71" w:rsidRDefault="00333B71" w:rsidP="00333B71">
      <w:pPr>
        <w:pStyle w:val="aa"/>
        <w:spacing w:after="0" w:line="240" w:lineRule="atLeast"/>
        <w:ind w:left="480" w:hangingChars="200" w:hanging="480"/>
        <w:jc w:val="both"/>
        <w:rPr>
          <w:rFonts w:hint="eastAsia"/>
        </w:rPr>
      </w:pPr>
      <w:bookmarkStart w:id="9" w:name="Xc57e363cba6f42e9e004341e6a4c420400b21d9"/>
      <w:bookmarkEnd w:id="8"/>
      <w:r w:rsidRPr="00333B71">
        <w:t xml:space="preserve">8. </w:t>
      </w:r>
      <w:r w:rsidRPr="00333B71">
        <w:tab/>
        <w:t xml:space="preserve">Bromis, K., </w:t>
      </w:r>
      <w:r w:rsidR="00030FA2" w:rsidRPr="00333B71">
        <w:rPr>
          <w:i/>
          <w:iCs/>
        </w:rPr>
        <w:t>et al.</w:t>
      </w:r>
      <w:r w:rsidRPr="00333B71">
        <w:t xml:space="preserve">. </w:t>
      </w:r>
      <w:r w:rsidRPr="00333B71">
        <w:rPr>
          <w:i/>
          <w:iCs/>
        </w:rPr>
        <w:t>Journal of Physics: Conference Series</w:t>
      </w:r>
      <w:r w:rsidRPr="00333B71">
        <w:t xml:space="preserve"> </w:t>
      </w:r>
      <w:r w:rsidRPr="00333B71">
        <w:rPr>
          <w:b/>
          <w:bCs/>
        </w:rPr>
        <w:t>931</w:t>
      </w:r>
      <w:r w:rsidRPr="00333B71">
        <w:t>, 012041 (2017).</w:t>
      </w:r>
    </w:p>
    <w:p w14:paraId="2305FAF1" w14:textId="56644715" w:rsidR="00333B71" w:rsidRPr="00333B71" w:rsidRDefault="00333B71" w:rsidP="00333B71">
      <w:pPr>
        <w:pStyle w:val="aa"/>
        <w:spacing w:after="0" w:line="240" w:lineRule="atLeast"/>
        <w:ind w:left="480" w:hangingChars="200" w:hanging="480"/>
        <w:jc w:val="both"/>
        <w:rPr>
          <w:rFonts w:hint="eastAsia"/>
        </w:rPr>
      </w:pPr>
      <w:bookmarkStart w:id="10" w:name="ref-liuFunctionalChangesPrefrontal2022"/>
      <w:bookmarkEnd w:id="9"/>
      <w:r w:rsidRPr="00333B71">
        <w:t xml:space="preserve">9. </w:t>
      </w:r>
      <w:r w:rsidRPr="00333B71">
        <w:tab/>
        <w:t xml:space="preserve">Liu, S. </w:t>
      </w:r>
      <w:r w:rsidRPr="00333B71">
        <w:rPr>
          <w:i/>
          <w:iCs/>
        </w:rPr>
        <w:t>et al.</w:t>
      </w:r>
      <w:r w:rsidRPr="00333B71">
        <w:t xml:space="preserve"> </w:t>
      </w:r>
      <w:r w:rsidRPr="00333B71">
        <w:rPr>
          <w:i/>
          <w:iCs/>
        </w:rPr>
        <w:t>Frontiers in Oncology</w:t>
      </w:r>
      <w:r w:rsidRPr="00333B71">
        <w:t xml:space="preserve"> </w:t>
      </w:r>
      <w:r w:rsidRPr="00333B71">
        <w:rPr>
          <w:b/>
          <w:bCs/>
        </w:rPr>
        <w:t>12</w:t>
      </w:r>
      <w:r w:rsidRPr="00333B71">
        <w:t>, (2022).</w:t>
      </w:r>
    </w:p>
    <w:p w14:paraId="3778BBC1" w14:textId="27146214" w:rsidR="00333B71" w:rsidRPr="00333B71" w:rsidRDefault="00333B71" w:rsidP="00333B71">
      <w:pPr>
        <w:pStyle w:val="aa"/>
        <w:spacing w:after="0" w:line="240" w:lineRule="atLeast"/>
        <w:ind w:left="480" w:hangingChars="200" w:hanging="480"/>
        <w:jc w:val="both"/>
        <w:rPr>
          <w:rFonts w:hint="eastAsia"/>
        </w:rPr>
      </w:pPr>
      <w:bookmarkStart w:id="11" w:name="ref-simoBrainFunctionalConnectivity2018"/>
      <w:bookmarkEnd w:id="10"/>
      <w:r w:rsidRPr="00333B71">
        <w:t xml:space="preserve">10. </w:t>
      </w:r>
      <w:r w:rsidRPr="00333B71">
        <w:tab/>
        <w:t xml:space="preserve">Simó, M. </w:t>
      </w:r>
      <w:r w:rsidRPr="00333B71">
        <w:rPr>
          <w:i/>
          <w:iCs/>
        </w:rPr>
        <w:t>et al.</w:t>
      </w:r>
      <w:r w:rsidRPr="00333B71">
        <w:t xml:space="preserve"> </w:t>
      </w:r>
      <w:r w:rsidRPr="00333B71">
        <w:rPr>
          <w:i/>
          <w:iCs/>
        </w:rPr>
        <w:t>Brain Imaging and Behavior</w:t>
      </w:r>
      <w:r w:rsidRPr="00333B71">
        <w:t xml:space="preserve"> </w:t>
      </w:r>
      <w:r w:rsidRPr="00333B71">
        <w:rPr>
          <w:b/>
          <w:bCs/>
        </w:rPr>
        <w:t>12</w:t>
      </w:r>
      <w:r w:rsidRPr="00333B71">
        <w:t>, 369–382 (2018).</w:t>
      </w:r>
    </w:p>
    <w:p w14:paraId="2DC7AA8A" w14:textId="54034DF0" w:rsidR="00333B71" w:rsidRPr="00333B71" w:rsidRDefault="00333B71" w:rsidP="00333B71">
      <w:pPr>
        <w:pStyle w:val="aa"/>
        <w:spacing w:after="0" w:line="240" w:lineRule="atLeast"/>
        <w:ind w:left="480" w:hangingChars="200" w:hanging="480"/>
        <w:jc w:val="both"/>
        <w:rPr>
          <w:rFonts w:hint="eastAsia"/>
        </w:rPr>
      </w:pPr>
      <w:bookmarkStart w:id="12" w:name="ref-zhangCognitiveChangesAre2023"/>
      <w:bookmarkEnd w:id="11"/>
      <w:r w:rsidRPr="00333B71">
        <w:t xml:space="preserve">11. </w:t>
      </w:r>
      <w:r w:rsidRPr="00333B71">
        <w:tab/>
        <w:t xml:space="preserve">Zhang, D.-F. </w:t>
      </w:r>
      <w:r w:rsidRPr="00333B71">
        <w:rPr>
          <w:i/>
          <w:iCs/>
        </w:rPr>
        <w:t>et al.</w:t>
      </w:r>
      <w:r w:rsidRPr="00333B71">
        <w:t xml:space="preserve"> </w:t>
      </w:r>
      <w:r w:rsidRPr="00333B71">
        <w:rPr>
          <w:i/>
          <w:iCs/>
        </w:rPr>
        <w:t>Brain imaging and behavior</w:t>
      </w:r>
      <w:r w:rsidRPr="00333B71">
        <w:t xml:space="preserve"> </w:t>
      </w:r>
      <w:r w:rsidRPr="00333B71">
        <w:rPr>
          <w:b/>
          <w:bCs/>
        </w:rPr>
        <w:t>17</w:t>
      </w:r>
      <w:r w:rsidRPr="00333B71">
        <w:t>, 90–99 (2023).</w:t>
      </w:r>
    </w:p>
    <w:p w14:paraId="5FE6384A" w14:textId="1DD1E4A1" w:rsidR="00333B71" w:rsidRPr="00333B71" w:rsidRDefault="00333B71" w:rsidP="00333B71">
      <w:pPr>
        <w:pStyle w:val="aa"/>
        <w:spacing w:after="0" w:line="240" w:lineRule="atLeast"/>
        <w:ind w:left="480" w:hangingChars="200" w:hanging="480"/>
        <w:jc w:val="both"/>
        <w:rPr>
          <w:rFonts w:hint="eastAsia"/>
        </w:rPr>
      </w:pPr>
      <w:bookmarkStart w:id="13" w:name="ref-yangChangesBrainStructure2020"/>
      <w:bookmarkEnd w:id="12"/>
      <w:r w:rsidRPr="00333B71">
        <w:t xml:space="preserve">12. </w:t>
      </w:r>
      <w:r w:rsidRPr="00333B71">
        <w:tab/>
        <w:t xml:space="preserve">Yang, B. </w:t>
      </w:r>
      <w:r w:rsidRPr="00333B71">
        <w:rPr>
          <w:i/>
          <w:iCs/>
        </w:rPr>
        <w:t>et al.</w:t>
      </w:r>
      <w:r w:rsidRPr="00333B71">
        <w:t xml:space="preserve"> </w:t>
      </w:r>
      <w:r w:rsidRPr="00333B71">
        <w:rPr>
          <w:i/>
          <w:iCs/>
        </w:rPr>
        <w:t>Frontiers in oncology</w:t>
      </w:r>
      <w:r w:rsidRPr="00333B71">
        <w:t xml:space="preserve"> </w:t>
      </w:r>
      <w:r w:rsidRPr="00333B71">
        <w:rPr>
          <w:b/>
          <w:bCs/>
        </w:rPr>
        <w:t>10</w:t>
      </w:r>
      <w:r w:rsidRPr="00333B71">
        <w:t>, 573512 (2020).</w:t>
      </w:r>
    </w:p>
    <w:p w14:paraId="1E0A45A7" w14:textId="183CB24F" w:rsidR="00333B71" w:rsidRPr="00333B71" w:rsidRDefault="00333B71" w:rsidP="00333B71">
      <w:pPr>
        <w:pStyle w:val="aa"/>
        <w:spacing w:after="0" w:line="240" w:lineRule="atLeast"/>
        <w:ind w:left="480" w:hangingChars="200" w:hanging="480"/>
        <w:jc w:val="both"/>
        <w:rPr>
          <w:rFonts w:hint="eastAsia"/>
        </w:rPr>
      </w:pPr>
      <w:bookmarkStart w:id="14" w:name="ref-billotSynthSegSegmentationBrain2023"/>
      <w:bookmarkEnd w:id="13"/>
      <w:r w:rsidRPr="00333B71">
        <w:t xml:space="preserve">13. </w:t>
      </w:r>
      <w:r w:rsidRPr="00333B71">
        <w:tab/>
        <w:t xml:space="preserve">Billot, B. </w:t>
      </w:r>
      <w:r w:rsidRPr="00333B71">
        <w:rPr>
          <w:i/>
          <w:iCs/>
        </w:rPr>
        <w:t>et al.</w:t>
      </w:r>
      <w:r w:rsidRPr="00333B71">
        <w:t xml:space="preserve"> </w:t>
      </w:r>
      <w:r w:rsidRPr="00333B71">
        <w:rPr>
          <w:i/>
          <w:iCs/>
        </w:rPr>
        <w:t>Medical image analysis</w:t>
      </w:r>
      <w:r w:rsidRPr="00333B71">
        <w:t xml:space="preserve"> </w:t>
      </w:r>
      <w:r w:rsidRPr="00333B71">
        <w:rPr>
          <w:b/>
          <w:bCs/>
        </w:rPr>
        <w:t>86</w:t>
      </w:r>
      <w:r w:rsidRPr="00333B71">
        <w:t>, 102789 (2023).</w:t>
      </w:r>
    </w:p>
    <w:p w14:paraId="0B1ED82F" w14:textId="6B912E8E" w:rsidR="00333B71" w:rsidRPr="00333B71" w:rsidRDefault="00333B71" w:rsidP="00333B71">
      <w:pPr>
        <w:pStyle w:val="aa"/>
        <w:spacing w:after="0" w:line="240" w:lineRule="atLeast"/>
        <w:ind w:left="480" w:hangingChars="200" w:hanging="480"/>
        <w:jc w:val="both"/>
        <w:rPr>
          <w:rFonts w:hint="eastAsia"/>
        </w:rPr>
      </w:pPr>
      <w:bookmarkStart w:id="15" w:name="ref-billotRobustMachineLearning2023"/>
      <w:bookmarkEnd w:id="14"/>
      <w:r w:rsidRPr="00333B71">
        <w:t xml:space="preserve">14. </w:t>
      </w:r>
      <w:r w:rsidRPr="00333B71">
        <w:tab/>
        <w:t xml:space="preserve">Billot, B. </w:t>
      </w:r>
      <w:r w:rsidRPr="00333B71">
        <w:rPr>
          <w:i/>
          <w:iCs/>
        </w:rPr>
        <w:t>et al.</w:t>
      </w:r>
      <w:r w:rsidRPr="00333B71">
        <w:t xml:space="preserve"> </w:t>
      </w:r>
      <w:r w:rsidRPr="00333B71">
        <w:rPr>
          <w:i/>
          <w:iCs/>
        </w:rPr>
        <w:t>Proceedings of the National Academy of Sciences</w:t>
      </w:r>
      <w:r w:rsidRPr="00333B71">
        <w:t xml:space="preserve"> </w:t>
      </w:r>
      <w:r w:rsidRPr="00333B71">
        <w:rPr>
          <w:b/>
          <w:bCs/>
        </w:rPr>
        <w:t>120</w:t>
      </w:r>
      <w:r w:rsidRPr="00333B71">
        <w:t>, e2216399120 (2023).</w:t>
      </w:r>
    </w:p>
    <w:bookmarkEnd w:id="2"/>
    <w:bookmarkEnd w:id="15"/>
    <w:p w14:paraId="2AA22D3D" w14:textId="77777777" w:rsidR="003F29C5" w:rsidRDefault="003F29C5">
      <w:pPr>
        <w:spacing w:line="560" w:lineRule="exact"/>
        <w:rPr>
          <w:rFonts w:ascii="楷体" w:eastAsia="楷体" w:hAnsi="楷体"/>
          <w:color w:val="2F5496"/>
          <w:sz w:val="28"/>
          <w:szCs w:val="28"/>
        </w:rPr>
      </w:pPr>
    </w:p>
    <w:p w14:paraId="2AAE4E3C" w14:textId="77777777" w:rsidR="003F29C5" w:rsidRDefault="00000000">
      <w:pPr>
        <w:spacing w:line="560" w:lineRule="exact"/>
        <w:rPr>
          <w:rFonts w:ascii="楷体" w:eastAsia="楷体" w:hAnsi="楷体"/>
          <w:color w:val="2F5496"/>
          <w:sz w:val="32"/>
          <w:szCs w:val="32"/>
        </w:rPr>
      </w:pPr>
      <w:r>
        <w:rPr>
          <w:rFonts w:ascii="楷体" w:eastAsia="楷体" w:hAnsi="楷体"/>
          <w:color w:val="2F5496"/>
          <w:sz w:val="32"/>
          <w:szCs w:val="32"/>
        </w:rPr>
        <w:t>（二）研究内容和拟解决的关键问题（</w:t>
      </w:r>
      <w:r>
        <w:rPr>
          <w:rFonts w:ascii="楷体" w:eastAsia="楷体" w:hAnsi="楷体"/>
          <w:sz w:val="28"/>
          <w:szCs w:val="28"/>
        </w:rPr>
        <w:t>限2000字</w:t>
      </w:r>
      <w:r>
        <w:rPr>
          <w:rFonts w:ascii="楷体" w:eastAsia="楷体" w:hAnsi="楷体"/>
          <w:color w:val="2F5496"/>
          <w:sz w:val="32"/>
          <w:szCs w:val="32"/>
        </w:rPr>
        <w:t>）</w:t>
      </w:r>
    </w:p>
    <w:p w14:paraId="7760B328" w14:textId="400C16B0" w:rsidR="00333B71" w:rsidRPr="00333B71" w:rsidRDefault="00333B71" w:rsidP="00333B71">
      <w:pPr>
        <w:spacing w:line="360" w:lineRule="auto"/>
        <w:jc w:val="both"/>
        <w:rPr>
          <w:rFonts w:ascii="华文楷体" w:eastAsia="华文楷体" w:hAnsi="华文楷体"/>
          <w:b/>
          <w:bCs/>
          <w:sz w:val="24"/>
          <w:szCs w:val="24"/>
        </w:rPr>
      </w:pPr>
      <w:r w:rsidRPr="00333B71">
        <w:rPr>
          <w:rFonts w:ascii="华文楷体" w:eastAsia="华文楷体" w:hAnsi="华文楷体"/>
          <w:b/>
          <w:bCs/>
          <w:sz w:val="24"/>
          <w:szCs w:val="24"/>
        </w:rPr>
        <w:t>2.1 关键科学问题</w:t>
      </w:r>
    </w:p>
    <w:p w14:paraId="53C5FC24" w14:textId="77777777" w:rsidR="00333B71" w:rsidRPr="00333B71" w:rsidRDefault="00333B71" w:rsidP="00333B71">
      <w:pPr>
        <w:spacing w:line="360" w:lineRule="auto"/>
        <w:ind w:firstLineChars="200" w:firstLine="480"/>
        <w:jc w:val="both"/>
        <w:rPr>
          <w:rFonts w:ascii="华文楷体" w:eastAsia="华文楷体" w:hAnsi="华文楷体"/>
          <w:sz w:val="24"/>
          <w:szCs w:val="24"/>
        </w:rPr>
      </w:pPr>
      <w:r w:rsidRPr="00333B71">
        <w:rPr>
          <w:rFonts w:ascii="华文楷体" w:eastAsia="华文楷体" w:hAnsi="华文楷体"/>
          <w:sz w:val="24"/>
          <w:szCs w:val="24"/>
        </w:rPr>
        <w:t>本项目着眼于“</w:t>
      </w:r>
      <w:r w:rsidRPr="00333B71">
        <w:rPr>
          <w:rFonts w:ascii="华文楷体" w:eastAsia="华文楷体" w:hAnsi="华文楷体"/>
          <w:b/>
          <w:bCs/>
          <w:sz w:val="24"/>
          <w:szCs w:val="24"/>
        </w:rPr>
        <w:t>肺癌相关认知障碍（CRCI）的神经生物学机制尚不完全明确，且缺乏涵盖多治疗模式的客观影像学标志物与预警体系</w:t>
      </w:r>
      <w:r w:rsidRPr="00333B71">
        <w:rPr>
          <w:rFonts w:ascii="华文楷体" w:eastAsia="华文楷体" w:hAnsi="华文楷体"/>
          <w:sz w:val="24"/>
          <w:szCs w:val="24"/>
        </w:rPr>
        <w:t>”这一重要临床与科学问题，旨在阐明肺癌系统性治疗长期暴露下的脑网络失代偿机制，并开发基于临床常规MRI的跨尺度风险预警模型。依托“域无关”跨模态脑影像自动化分割算法（SynthSeg）及多模态神经影像技术，突破“高分辨多模态科研影像与临床常规厚层影像存在转化脱节”这一关键技术瓶颈，最终回答“</w:t>
      </w:r>
      <w:r w:rsidRPr="00333B71">
        <w:rPr>
          <w:rFonts w:ascii="华文楷体" w:eastAsia="华文楷体" w:hAnsi="华文楷体"/>
          <w:b/>
          <w:bCs/>
          <w:sz w:val="24"/>
          <w:szCs w:val="24"/>
        </w:rPr>
        <w:t>肺癌系统性治疗的中枢神经毒性将造成脑结构与功能的何种病理性演变，最终导致认知衰退”这一关键科学问题，以及“以及如何通过跨尺度影像特征实现早期精准预警”这一关键技术问题。</w:t>
      </w:r>
    </w:p>
    <w:p w14:paraId="4719A803" w14:textId="77777777" w:rsidR="00262D19" w:rsidRDefault="00262D19" w:rsidP="00262D19">
      <w:pPr>
        <w:spacing w:line="360" w:lineRule="auto"/>
        <w:jc w:val="both"/>
        <w:rPr>
          <w:rFonts w:ascii="华文楷体" w:eastAsia="华文楷体" w:hAnsi="华文楷体"/>
          <w:b/>
          <w:bCs/>
          <w:sz w:val="24"/>
          <w:szCs w:val="24"/>
        </w:rPr>
      </w:pPr>
    </w:p>
    <w:p w14:paraId="1CD694B7" w14:textId="302CF0AB" w:rsidR="00262D19" w:rsidRDefault="00262D19" w:rsidP="00262D19">
      <w:pPr>
        <w:spacing w:line="360" w:lineRule="auto"/>
        <w:jc w:val="both"/>
        <w:rPr>
          <w:rFonts w:ascii="华文楷体" w:eastAsia="华文楷体" w:hAnsi="华文楷体"/>
          <w:b/>
          <w:bCs/>
          <w:sz w:val="24"/>
          <w:szCs w:val="24"/>
        </w:rPr>
      </w:pPr>
      <w:r w:rsidRPr="00333B71">
        <w:rPr>
          <w:rFonts w:ascii="华文楷体" w:eastAsia="华文楷体" w:hAnsi="华文楷体"/>
          <w:b/>
          <w:bCs/>
          <w:sz w:val="24"/>
          <w:szCs w:val="24"/>
        </w:rPr>
        <w:t>2.</w:t>
      </w:r>
      <w:r>
        <w:rPr>
          <w:rFonts w:ascii="华文楷体" w:eastAsia="华文楷体" w:hAnsi="华文楷体"/>
          <w:b/>
          <w:bCs/>
          <w:sz w:val="24"/>
          <w:szCs w:val="24"/>
        </w:rPr>
        <w:t>2 研究内容</w:t>
      </w:r>
    </w:p>
    <w:p w14:paraId="1DD238EF" w14:textId="618094BA" w:rsidR="00262D19" w:rsidRPr="00262D19" w:rsidRDefault="00262D19" w:rsidP="00262D19">
      <w:pPr>
        <w:spacing w:line="360" w:lineRule="auto"/>
        <w:jc w:val="both"/>
        <w:rPr>
          <w:rFonts w:ascii="华文楷体" w:eastAsia="华文楷体" w:hAnsi="华文楷体"/>
          <w:b/>
          <w:bCs/>
          <w:sz w:val="24"/>
          <w:szCs w:val="24"/>
        </w:rPr>
      </w:pPr>
      <w:r w:rsidRPr="00262D19">
        <w:rPr>
          <w:rFonts w:ascii="华文楷体" w:eastAsia="华文楷体" w:hAnsi="华文楷体"/>
          <w:b/>
          <w:bCs/>
          <w:sz w:val="24"/>
          <w:szCs w:val="24"/>
        </w:rPr>
        <w:t>研究一：基于 SynthSeg 算法的肺癌多模式治疗大队列脑形态学纵向演变轨迹刻画</w:t>
      </w:r>
    </w:p>
    <w:p w14:paraId="24DEFAA6" w14:textId="01D80564" w:rsidR="00262D19" w:rsidRPr="00262D19" w:rsidRDefault="00262D19" w:rsidP="00262D19">
      <w:pPr>
        <w:spacing w:line="360" w:lineRule="auto"/>
        <w:ind w:firstLineChars="200" w:firstLine="480"/>
        <w:jc w:val="both"/>
        <w:rPr>
          <w:rFonts w:ascii="华文楷体" w:eastAsia="华文楷体" w:hAnsi="华文楷体"/>
          <w:sz w:val="24"/>
          <w:szCs w:val="24"/>
        </w:rPr>
      </w:pPr>
      <w:r w:rsidRPr="00262D19">
        <w:rPr>
          <w:rFonts w:ascii="华文楷体" w:eastAsia="华文楷体" w:hAnsi="华文楷体"/>
          <w:sz w:val="24"/>
          <w:szCs w:val="24"/>
        </w:rPr>
        <w:t>既往 CRCI 机制研究多局限于单一治疗（如传统化疗）的横断面探索，缺乏涵盖肺癌多治</w:t>
      </w:r>
      <w:r w:rsidRPr="00262D19">
        <w:rPr>
          <w:rFonts w:ascii="华文楷体" w:eastAsia="华文楷体" w:hAnsi="华文楷体"/>
          <w:sz w:val="24"/>
          <w:szCs w:val="24"/>
        </w:rPr>
        <w:lastRenderedPageBreak/>
        <w:t>疗模式（如化疗、靶向、免疫治疗及其联合方案等）的综合性纵向证据，且海量临床常规随访数据未能被有效利用。本研究将引入“域无关”的跨模态脑影像自动化分割算法（SynthSeg），首次在真实世界大样本队列中，突破分辨率低、对比度差异大及设备异质性高等技术瓶颈，对异质性极高的临床常规厚层 MRI 进行全脑尺度下的精准自动化分割。本部分研究将首先系统回顾并筛选接受多模式治疗的肺癌患者，全面采集常规大层厚头部 MRI 数据并精细化提取多维临床暴露信息，构建高质量纵向队列。在此基础上，通过实施严格的跨序列、跨设备批次效应校正，筛查并识别对不同治疗路径高度敏感的易损脑区，探明宏观脑结构损伤的客观规律，绘制肺癌系统性治疗相关的低分辨率宏观脑形态学演变轨迹，为后续机制研究提供大样本的宏观形态学演变规律支撑。</w:t>
      </w:r>
    </w:p>
    <w:p w14:paraId="19427345" w14:textId="77777777" w:rsidR="00262D19" w:rsidRPr="00262D19" w:rsidRDefault="00262D19" w:rsidP="00262D19">
      <w:pPr>
        <w:spacing w:line="360" w:lineRule="auto"/>
        <w:jc w:val="both"/>
        <w:rPr>
          <w:rFonts w:ascii="华文楷体" w:eastAsia="华文楷体" w:hAnsi="华文楷体"/>
          <w:sz w:val="24"/>
          <w:szCs w:val="24"/>
        </w:rPr>
      </w:pPr>
    </w:p>
    <w:p w14:paraId="0C31BD0F" w14:textId="77777777" w:rsidR="0031555A" w:rsidRPr="0031555A" w:rsidRDefault="0031555A" w:rsidP="0031555A">
      <w:pPr>
        <w:spacing w:line="360" w:lineRule="auto"/>
        <w:jc w:val="both"/>
        <w:rPr>
          <w:rFonts w:ascii="华文楷体" w:eastAsia="华文楷体" w:hAnsi="华文楷体"/>
          <w:b/>
          <w:bCs/>
          <w:sz w:val="24"/>
          <w:szCs w:val="24"/>
        </w:rPr>
      </w:pPr>
      <w:r w:rsidRPr="0031555A">
        <w:rPr>
          <w:rFonts w:ascii="华文楷体" w:eastAsia="华文楷体" w:hAnsi="华文楷体"/>
          <w:b/>
          <w:bCs/>
          <w:sz w:val="24"/>
          <w:szCs w:val="24"/>
        </w:rPr>
        <w:t>研究内容二：靶向治疗 CRCI 的多模态影像表型锚定与微观脑网络失代偿机制解析（前瞻性研究）</w:t>
      </w:r>
    </w:p>
    <w:p w14:paraId="497DDD01" w14:textId="001F35B3" w:rsidR="00262D19" w:rsidRPr="00262D19" w:rsidRDefault="0031555A" w:rsidP="0031555A">
      <w:pPr>
        <w:spacing w:line="360" w:lineRule="auto"/>
        <w:ind w:firstLineChars="200" w:firstLine="480"/>
        <w:jc w:val="both"/>
        <w:rPr>
          <w:rFonts w:ascii="华文楷体" w:eastAsia="华文楷体" w:hAnsi="华文楷体"/>
          <w:sz w:val="24"/>
          <w:szCs w:val="24"/>
        </w:rPr>
      </w:pPr>
      <w:r w:rsidRPr="0031555A">
        <w:rPr>
          <w:rFonts w:ascii="华文楷体" w:eastAsia="华文楷体" w:hAnsi="华文楷体"/>
          <w:sz w:val="24"/>
          <w:szCs w:val="24"/>
        </w:rPr>
        <w:t>在明确宏观形态学演变规律的基础上，开展前瞻性研究进一步探明其背后的神经生物学本质，以为未来的精准干预（如神经调控）寻找潜在靶点。我们将开展前瞻性多模态影像与神经心理学评估研究：首先，严格参照国际认知与癌症工作组（ICCTF）推荐标准，采用成套神经心理量表（全面覆盖工作记忆、注意力、执行功能等认知域）对肺癌 CRCI 进行客观表型的多维度量化评估与精准分层，确立可靠的认知行为学基准；其次，结合高分辨多模态科研级脑影像（涵盖高分辨 3D-T1 结构像、rs-fMRI 及 DTI 等），从全脑及局部灰质微观改变、白质纤维束微结构完整性，以及核心认知脑网络（如 DMN、CEN 等）功能状态层面，全面探明“不同系统性治疗路径导致中枢神经毒性的共性与特异性脑影像机制是什么”；最后，通过构建高级多变量统计模型进行跨模态联合分析，深度剖析影像学特征变异对认知表型衰退的解释度，系统阐明“脑微观损伤-脑网络异常-认知行为缺陷”的内在因果关联链条，完成从影像表型到神经生物学机制的闭环论证。</w:t>
      </w:r>
    </w:p>
    <w:p w14:paraId="47E79720" w14:textId="77777777" w:rsidR="0031555A" w:rsidRDefault="0031555A" w:rsidP="0031555A">
      <w:pPr>
        <w:spacing w:line="360" w:lineRule="auto"/>
        <w:jc w:val="both"/>
        <w:rPr>
          <w:rFonts w:ascii="华文楷体" w:eastAsia="华文楷体" w:hAnsi="华文楷体"/>
          <w:b/>
          <w:bCs/>
          <w:sz w:val="24"/>
          <w:szCs w:val="24"/>
        </w:rPr>
      </w:pPr>
    </w:p>
    <w:p w14:paraId="02C52F4F" w14:textId="5E6E48B1" w:rsidR="0031555A" w:rsidRPr="0031555A" w:rsidRDefault="0031555A" w:rsidP="0031555A">
      <w:pPr>
        <w:spacing w:line="360" w:lineRule="auto"/>
        <w:jc w:val="both"/>
        <w:rPr>
          <w:rFonts w:ascii="华文楷体" w:eastAsia="华文楷体" w:hAnsi="华文楷体"/>
          <w:b/>
          <w:bCs/>
          <w:sz w:val="24"/>
          <w:szCs w:val="24"/>
        </w:rPr>
      </w:pPr>
      <w:r w:rsidRPr="0031555A">
        <w:rPr>
          <w:rFonts w:ascii="华文楷体" w:eastAsia="华文楷体" w:hAnsi="华文楷体"/>
          <w:b/>
          <w:bCs/>
          <w:sz w:val="24"/>
          <w:szCs w:val="24"/>
        </w:rPr>
        <w:t>研究三：“临床常规-科研高精”跨尺度特征映射与机制驱动的低输入预警模型构建</w:t>
      </w:r>
    </w:p>
    <w:p w14:paraId="37FB7F9F" w14:textId="1A9D84E3" w:rsidR="00333B71" w:rsidRPr="0031555A" w:rsidRDefault="0031555A" w:rsidP="0031555A">
      <w:pPr>
        <w:spacing w:line="360" w:lineRule="auto"/>
        <w:ind w:firstLineChars="200" w:firstLine="480"/>
        <w:jc w:val="both"/>
        <w:rPr>
          <w:rFonts w:ascii="华文楷体" w:eastAsia="华文楷体" w:hAnsi="华文楷体"/>
          <w:sz w:val="24"/>
          <w:szCs w:val="24"/>
        </w:rPr>
      </w:pPr>
      <w:r w:rsidRPr="0031555A">
        <w:rPr>
          <w:rFonts w:ascii="华文楷体" w:eastAsia="华文楷体" w:hAnsi="华文楷体"/>
          <w:sz w:val="24"/>
          <w:szCs w:val="24"/>
        </w:rPr>
        <w:t>在探明微观机制与宏观演变轨迹后，研究三致力于突破“高分辨科研影像与临床常规厚</w:t>
      </w:r>
      <w:r w:rsidRPr="0031555A">
        <w:rPr>
          <w:rFonts w:ascii="华文楷体" w:eastAsia="华文楷体" w:hAnsi="华文楷体"/>
          <w:sz w:val="24"/>
          <w:szCs w:val="24"/>
        </w:rPr>
        <w:lastRenderedPageBreak/>
        <w:t>层影像存在转化脱节”的技术瓶颈，将机制研究成果向临床真实世界转化。利用前瞻性队列中同时具备临床常规厚层与科研高分辨多模态影像的配对样本，构建跨尺度影像数据库并开展跨尺度特征对齐与校准。通过典型相关分析或机器学习特征映射，系统评估低分辨率宏观特征对微观网络衰退的代理效能，回答核心转化问题：“在缺乏高分辨影像的临床真实场景下，哪些来自常规厚层 MRI 的特定宏观参数，能够最敏锐、最稳健地代理或预测患者隐匿性的微观网络损伤”。在此基础上，深度融合关键临床暴露变量，运用先进的机器学习算法构建一套“机制驱动”的低输入（仅需临床常规 MRI + 基础临床信息）风险预警模型。通过严格的内部交叉验证系统评估其预测效能，最终形成一套低门槛、可广泛推广的早期风险预警工具，为肺癌幸存者 CRCI 的早期筛查与未来个体化干预方案的制定提供坚实基础与靶点依据。</w:t>
      </w:r>
    </w:p>
    <w:p w14:paraId="7BFC1BCD" w14:textId="77777777" w:rsidR="003F29C5" w:rsidRPr="00333B71" w:rsidRDefault="003F29C5">
      <w:pPr>
        <w:spacing w:line="560" w:lineRule="exact"/>
        <w:rPr>
          <w:rFonts w:ascii="楷体" w:eastAsia="楷体" w:hAnsi="楷体"/>
          <w:color w:val="2F5496"/>
          <w:sz w:val="28"/>
          <w:szCs w:val="28"/>
        </w:rPr>
      </w:pPr>
    </w:p>
    <w:p w14:paraId="11C376AB" w14:textId="77777777" w:rsidR="003F29C5" w:rsidRDefault="00000000">
      <w:pPr>
        <w:spacing w:line="560" w:lineRule="exact"/>
        <w:rPr>
          <w:rFonts w:ascii="楷体" w:eastAsia="楷体" w:hAnsi="楷体"/>
          <w:color w:val="2F5496"/>
          <w:sz w:val="32"/>
          <w:szCs w:val="32"/>
        </w:rPr>
      </w:pPr>
      <w:r>
        <w:rPr>
          <w:rFonts w:ascii="楷体" w:eastAsia="楷体" w:hAnsi="楷体"/>
          <w:color w:val="2F5496"/>
          <w:sz w:val="32"/>
          <w:szCs w:val="32"/>
        </w:rPr>
        <w:t>（三）技术路线和实施方案（</w:t>
      </w:r>
      <w:r>
        <w:rPr>
          <w:rFonts w:ascii="楷体" w:eastAsia="楷体" w:hAnsi="楷体"/>
          <w:sz w:val="28"/>
          <w:szCs w:val="28"/>
        </w:rPr>
        <w:t>限</w:t>
      </w:r>
      <w:r>
        <w:rPr>
          <w:rFonts w:ascii="楷体" w:eastAsia="楷体" w:hAnsi="楷体" w:hint="default"/>
          <w:sz w:val="28"/>
          <w:szCs w:val="28"/>
        </w:rPr>
        <w:t>1</w:t>
      </w:r>
      <w:r>
        <w:rPr>
          <w:rFonts w:ascii="楷体" w:eastAsia="楷体" w:hAnsi="楷体"/>
          <w:sz w:val="28"/>
          <w:szCs w:val="28"/>
        </w:rPr>
        <w:t>000字</w:t>
      </w:r>
      <w:r>
        <w:rPr>
          <w:rFonts w:ascii="楷体" w:eastAsia="楷体" w:hAnsi="楷体"/>
          <w:color w:val="2F5496"/>
          <w:sz w:val="32"/>
          <w:szCs w:val="32"/>
        </w:rPr>
        <w:t>）</w:t>
      </w:r>
    </w:p>
    <w:p w14:paraId="07C0D925" w14:textId="77777777" w:rsidR="0031555A" w:rsidRPr="0031555A" w:rsidRDefault="0031555A" w:rsidP="0031555A">
      <w:pPr>
        <w:spacing w:line="560" w:lineRule="exact"/>
        <w:rPr>
          <w:rFonts w:ascii="华文楷体" w:eastAsia="华文楷体" w:hAnsi="华文楷体"/>
          <w:b/>
          <w:bCs/>
          <w:sz w:val="24"/>
          <w:szCs w:val="24"/>
        </w:rPr>
      </w:pPr>
      <w:r w:rsidRPr="0031555A">
        <w:rPr>
          <w:rFonts w:ascii="华文楷体" w:eastAsia="华文楷体" w:hAnsi="华文楷体"/>
          <w:b/>
          <w:bCs/>
          <w:sz w:val="24"/>
          <w:szCs w:val="24"/>
        </w:rPr>
        <w:t>研究一：基于 SynthSeg 算法的肺癌多模式治疗大队列脑形态学纵向演变轨迹刻画</w:t>
      </w:r>
    </w:p>
    <w:p w14:paraId="03EBCCD0" w14:textId="28C8755A" w:rsidR="0031555A" w:rsidRPr="0031555A" w:rsidRDefault="0031555A" w:rsidP="0031555A">
      <w:pPr>
        <w:spacing w:line="560" w:lineRule="exact"/>
        <w:ind w:firstLineChars="200" w:firstLine="480"/>
        <w:jc w:val="both"/>
        <w:rPr>
          <w:rFonts w:ascii="华文楷体" w:eastAsia="华文楷体" w:hAnsi="华文楷体" w:cs="Times New Roman"/>
          <w:sz w:val="24"/>
          <w:szCs w:val="24"/>
        </w:rPr>
      </w:pPr>
      <w:r w:rsidRPr="0031555A">
        <w:rPr>
          <w:rFonts w:ascii="华文楷体" w:eastAsia="华文楷体" w:hAnsi="华文楷体" w:cs="Times New Roman"/>
          <w:sz w:val="24"/>
          <w:szCs w:val="24"/>
        </w:rPr>
        <w:t>回顾性筛选接受系统性治疗（涵盖化疗、靶向、免疫及联合方案）的肺癌患者，严格排除脑转移、颅脑放疗等混杂因素。依托电子病历系统，全面采集患者基线及随访期常规大层厚头部 MRI（T1/T2/FLAIR）数据。精细化提取多维临床暴露信息（治疗方案、剂量周期、累积暴露时长、合并用药及生化指标等），构建真实世界纵向影像队列。</w:t>
      </w:r>
      <w:r w:rsidRPr="0031555A">
        <w:rPr>
          <w:rFonts w:ascii="华文楷体" w:eastAsia="华文楷体" w:hAnsi="华文楷体"/>
          <w:sz w:val="24"/>
          <w:szCs w:val="24"/>
        </w:rPr>
        <w:t>部署</w:t>
      </w:r>
      <w:r>
        <w:rPr>
          <w:rFonts w:ascii="华文楷体" w:eastAsia="华文楷体" w:hAnsi="华文楷体"/>
          <w:sz w:val="24"/>
          <w:szCs w:val="24"/>
        </w:rPr>
        <w:t xml:space="preserve"> </w:t>
      </w:r>
      <w:r w:rsidRPr="0031555A">
        <w:rPr>
          <w:rFonts w:ascii="华文楷体" w:eastAsia="华文楷体" w:hAnsi="华文楷体"/>
          <w:sz w:val="24"/>
          <w:szCs w:val="24"/>
        </w:rPr>
        <w:t>SynthSeg 算法</w:t>
      </w:r>
      <w:r>
        <w:rPr>
          <w:rFonts w:ascii="华文楷体" w:eastAsia="华文楷体" w:hAnsi="华文楷体"/>
          <w:sz w:val="24"/>
          <w:szCs w:val="24"/>
        </w:rPr>
        <w:t>，</w:t>
      </w:r>
      <w:r w:rsidRPr="0031555A">
        <w:rPr>
          <w:rFonts w:ascii="华文楷体" w:eastAsia="华文楷体" w:hAnsi="华文楷体"/>
          <w:sz w:val="24"/>
          <w:szCs w:val="24"/>
        </w:rPr>
        <w:t>对海量临床影像进行全脑尺度自动化精准分割，提取全脑宏观体积与形态学衍生指标。实施严格的跨序列、跨设备批次效应校正（Batch Effect Harmonization），确保形态学特征的稳健性。</w:t>
      </w:r>
    </w:p>
    <w:p w14:paraId="081D06A8" w14:textId="44FF6F76" w:rsidR="0031555A" w:rsidRPr="0031555A" w:rsidRDefault="0031555A" w:rsidP="0031555A">
      <w:pPr>
        <w:spacing w:line="560" w:lineRule="exact"/>
        <w:ind w:firstLineChars="200" w:firstLine="480"/>
        <w:jc w:val="both"/>
        <w:rPr>
          <w:rFonts w:ascii="华文楷体" w:eastAsia="华文楷体" w:hAnsi="华文楷体"/>
          <w:sz w:val="24"/>
          <w:szCs w:val="24"/>
        </w:rPr>
      </w:pPr>
      <w:r w:rsidRPr="0031555A">
        <w:rPr>
          <w:rFonts w:ascii="华文楷体" w:eastAsia="华文楷体" w:hAnsi="华文楷体"/>
          <w:sz w:val="24"/>
          <w:szCs w:val="24"/>
        </w:rPr>
        <w:t>采用线性混合效应模型（LMM）等纵向统计方法，将多维临床暴露因素作为协变量纳入模型。分析不同治疗路径及累积暴露时长与特定脑区形态学改变的动态关联，精准识别易损脑区，绘制肺癌系统性治疗相关的“低分辨率宏观脑形态学风险基线”。</w:t>
      </w:r>
    </w:p>
    <w:p w14:paraId="4ED8222C" w14:textId="77777777" w:rsidR="0031555A" w:rsidRDefault="0031555A" w:rsidP="0031555A">
      <w:pPr>
        <w:spacing w:line="560" w:lineRule="exact"/>
        <w:rPr>
          <w:rFonts w:ascii="华文楷体" w:eastAsia="华文楷体" w:hAnsi="华文楷体"/>
          <w:b/>
          <w:bCs/>
          <w:sz w:val="24"/>
          <w:szCs w:val="24"/>
        </w:rPr>
      </w:pPr>
      <w:r w:rsidRPr="0031555A">
        <w:rPr>
          <w:rFonts w:ascii="华文楷体" w:eastAsia="华文楷体" w:hAnsi="华文楷体"/>
          <w:b/>
          <w:bCs/>
          <w:sz w:val="24"/>
          <w:szCs w:val="24"/>
        </w:rPr>
        <w:t>研究二：靶向治疗 CRCI 的多模态影像表型锚定与微观脑网络失代偿机制解析</w:t>
      </w:r>
    </w:p>
    <w:p w14:paraId="7C5C4182" w14:textId="77777777" w:rsidR="0031555A" w:rsidRDefault="0031555A" w:rsidP="0031555A">
      <w:pPr>
        <w:spacing w:line="560" w:lineRule="exact"/>
        <w:ind w:firstLineChars="200" w:firstLine="480"/>
        <w:rPr>
          <w:rFonts w:ascii="华文楷体" w:eastAsia="华文楷体" w:hAnsi="华文楷体"/>
          <w:sz w:val="24"/>
          <w:szCs w:val="24"/>
        </w:rPr>
      </w:pPr>
      <w:r w:rsidRPr="0031555A">
        <w:rPr>
          <w:rFonts w:ascii="华文楷体" w:eastAsia="华文楷体" w:hAnsi="华文楷体"/>
          <w:sz w:val="24"/>
          <w:szCs w:val="24"/>
        </w:rPr>
        <w:t>前瞻性招募接受不同系统性治疗的肺癌患者队列</w:t>
      </w:r>
      <w:r>
        <w:rPr>
          <w:rFonts w:ascii="华文楷体" w:eastAsia="华文楷体" w:hAnsi="华文楷体"/>
          <w:sz w:val="24"/>
          <w:szCs w:val="24"/>
        </w:rPr>
        <w:t>，50例每组</w:t>
      </w:r>
      <w:r w:rsidRPr="0031555A">
        <w:rPr>
          <w:rFonts w:ascii="华文楷体" w:eastAsia="华文楷体" w:hAnsi="华文楷体"/>
          <w:sz w:val="24"/>
          <w:szCs w:val="24"/>
        </w:rPr>
        <w:t xml:space="preserve">。参照 ICCTF 推荐标准，采用成套神经心理学量表（覆盖工作记忆、注意力、执行功能等认知域）进行系统测评。实现 </w:t>
      </w:r>
      <w:r w:rsidRPr="0031555A">
        <w:rPr>
          <w:rFonts w:ascii="华文楷体" w:eastAsia="华文楷体" w:hAnsi="华文楷体"/>
          <w:sz w:val="24"/>
          <w:szCs w:val="24"/>
        </w:rPr>
        <w:lastRenderedPageBreak/>
        <w:t>CRCI 客观表型的多维度量化评估，并依据损害程度与受损域特征进行精准分层。</w:t>
      </w:r>
    </w:p>
    <w:p w14:paraId="42A0AE0E" w14:textId="2BF9518D" w:rsidR="0031555A" w:rsidRPr="0031555A" w:rsidRDefault="0031555A" w:rsidP="0031555A">
      <w:pPr>
        <w:spacing w:line="560" w:lineRule="exact"/>
        <w:ind w:firstLineChars="200" w:firstLine="480"/>
        <w:jc w:val="both"/>
        <w:rPr>
          <w:rFonts w:ascii="华文楷体" w:eastAsia="华文楷体" w:hAnsi="华文楷体"/>
          <w:sz w:val="24"/>
          <w:szCs w:val="24"/>
        </w:rPr>
      </w:pPr>
      <w:r w:rsidRPr="0031555A">
        <w:rPr>
          <w:rFonts w:ascii="华文楷体" w:eastAsia="华文楷体" w:hAnsi="华文楷体"/>
          <w:sz w:val="24"/>
          <w:szCs w:val="24"/>
        </w:rPr>
        <w:t>采集科研级高分辨脑影像数据（3D-T1、rs-fMRI 及 DTI）。运用多模态影像分析技术，从</w:t>
      </w:r>
      <w:r>
        <w:rPr>
          <w:rFonts w:ascii="华文楷体" w:eastAsia="华文楷体" w:hAnsi="华文楷体"/>
          <w:sz w:val="24"/>
          <w:szCs w:val="24"/>
        </w:rPr>
        <w:t>提取</w:t>
      </w:r>
      <w:r w:rsidRPr="0031555A">
        <w:rPr>
          <w:rFonts w:ascii="华文楷体" w:eastAsia="华文楷体" w:hAnsi="华文楷体"/>
          <w:sz w:val="24"/>
          <w:szCs w:val="24"/>
        </w:rPr>
        <w:t>全脑/局部灰质微观改变与白质纤维束微结构完整性</w:t>
      </w:r>
      <w:r>
        <w:rPr>
          <w:rFonts w:ascii="华文楷体" w:eastAsia="华文楷体" w:hAnsi="华文楷体"/>
          <w:sz w:val="24"/>
          <w:szCs w:val="24"/>
        </w:rPr>
        <w:t>关键参数</w:t>
      </w:r>
      <w:r w:rsidRPr="0031555A">
        <w:rPr>
          <w:rFonts w:ascii="华文楷体" w:eastAsia="华文楷体" w:hAnsi="华文楷体"/>
          <w:sz w:val="24"/>
          <w:szCs w:val="24"/>
        </w:rPr>
        <w:t>；从功能层面</w:t>
      </w:r>
      <w:r>
        <w:rPr>
          <w:rFonts w:ascii="华文楷体" w:eastAsia="华文楷体" w:hAnsi="华文楷体"/>
          <w:sz w:val="24"/>
          <w:szCs w:val="24"/>
        </w:rPr>
        <w:t>提取</w:t>
      </w:r>
      <w:r w:rsidRPr="0031555A">
        <w:rPr>
          <w:rFonts w:ascii="华文楷体" w:eastAsia="华文楷体" w:hAnsi="华文楷体"/>
          <w:sz w:val="24"/>
          <w:szCs w:val="24"/>
        </w:rPr>
        <w:t>核心认知网络（如 DMN、CEN）内部及网络间的功能连接与拓扑属性</w:t>
      </w:r>
      <w:r>
        <w:rPr>
          <w:rFonts w:ascii="华文楷体" w:eastAsia="华文楷体" w:hAnsi="华文楷体"/>
          <w:sz w:val="24"/>
          <w:szCs w:val="24"/>
        </w:rPr>
        <w:t>参数</w:t>
      </w:r>
      <w:r w:rsidRPr="0031555A">
        <w:rPr>
          <w:rFonts w:ascii="华文楷体" w:eastAsia="华文楷体" w:hAnsi="华文楷体"/>
          <w:sz w:val="24"/>
          <w:szCs w:val="24"/>
        </w:rPr>
        <w:t>，构建典型相关分析（CCA）、中介效应等高级多变量统计模型，将多模态影像特征与认知评分进行跨模态联合分析。横向对比不同治疗路径下脑结构与网络失代偿的共性与特异性机制，深度剖析影像特征变异对认知衰退的解释度，阐明“脑微观损伤-脑网络异常-认知行为缺陷”的因果关联链条。</w:t>
      </w:r>
    </w:p>
    <w:p w14:paraId="294237C4" w14:textId="77777777" w:rsidR="0031555A" w:rsidRPr="0031555A" w:rsidRDefault="0031555A" w:rsidP="0031555A">
      <w:pPr>
        <w:spacing w:line="560" w:lineRule="exact"/>
        <w:rPr>
          <w:rFonts w:ascii="华文楷体" w:eastAsia="华文楷体" w:hAnsi="华文楷体"/>
          <w:b/>
          <w:bCs/>
          <w:sz w:val="24"/>
          <w:szCs w:val="24"/>
        </w:rPr>
      </w:pPr>
      <w:r w:rsidRPr="0031555A">
        <w:rPr>
          <w:rFonts w:ascii="华文楷体" w:eastAsia="华文楷体" w:hAnsi="华文楷体"/>
          <w:b/>
          <w:bCs/>
          <w:sz w:val="24"/>
          <w:szCs w:val="24"/>
        </w:rPr>
        <w:t>研究三：“临床常规-科研高精”跨尺度特征映射与机制驱动的 CRCI 风险预警模型构建</w:t>
      </w:r>
    </w:p>
    <w:p w14:paraId="0AB9069C" w14:textId="0DF16BE7" w:rsidR="0031555A" w:rsidRPr="0031555A" w:rsidRDefault="0031555A" w:rsidP="0031555A">
      <w:pPr>
        <w:spacing w:line="560" w:lineRule="exact"/>
        <w:ind w:firstLineChars="200" w:firstLine="480"/>
        <w:jc w:val="both"/>
        <w:rPr>
          <w:rFonts w:ascii="华文楷体" w:eastAsia="华文楷体" w:hAnsi="华文楷体"/>
          <w:sz w:val="24"/>
          <w:szCs w:val="24"/>
        </w:rPr>
      </w:pPr>
      <w:r w:rsidRPr="0031555A">
        <w:rPr>
          <w:rFonts w:ascii="华文楷体" w:eastAsia="华文楷体" w:hAnsi="华文楷体"/>
          <w:sz w:val="24"/>
          <w:szCs w:val="24"/>
        </w:rPr>
        <w:t>利用前瞻性队列中具备“临床厚层-科研高分辨”配对 MRI 的样本构建跨尺度数据库。将 SynthSeg 提取的宏观形态学特征与微观结构/脑网络失代偿特征进行 CCA 或机器学习特征映射。系统评估常规厚层 MRI 宏观参数对隐匿性微观网络衰退的代理与预测效能。融合筛选出的稳健跨尺度影像特征与关键临床暴露变量（治疗方案、累积负荷、年龄等），运用随机森林、支持向量机（SVM）等机器学习算法或列线图，构建仅需“临床常规 MRI + 基础临床信息”的低输入风险预警模型。通过内部交叉验证（Cross-Validation）及重抽样技术系统评估其预测效能（AUC、敏感度、特异度），形成可广泛推广的早期风险预警工具。</w:t>
      </w:r>
    </w:p>
    <w:p w14:paraId="12AC46E1" w14:textId="77777777" w:rsidR="003F29C5" w:rsidRPr="0031555A" w:rsidRDefault="003F29C5">
      <w:pPr>
        <w:spacing w:line="560" w:lineRule="exact"/>
        <w:rPr>
          <w:rFonts w:ascii="楷体" w:eastAsia="楷体" w:hAnsi="楷体"/>
          <w:color w:val="2F5496"/>
          <w:sz w:val="28"/>
          <w:szCs w:val="28"/>
        </w:rPr>
      </w:pPr>
    </w:p>
    <w:p w14:paraId="7627E786" w14:textId="77777777" w:rsidR="003F29C5" w:rsidRDefault="003F29C5">
      <w:pPr>
        <w:spacing w:line="560" w:lineRule="exact"/>
        <w:rPr>
          <w:rFonts w:ascii="楷体" w:eastAsia="楷体" w:hAnsi="楷体"/>
          <w:color w:val="2F5496"/>
          <w:sz w:val="28"/>
          <w:szCs w:val="28"/>
        </w:rPr>
      </w:pPr>
    </w:p>
    <w:p w14:paraId="73E9EBF3" w14:textId="77777777" w:rsidR="003F29C5" w:rsidRDefault="003F29C5">
      <w:pPr>
        <w:rPr>
          <w:rFonts w:hint="default"/>
        </w:rPr>
        <w:sectPr w:rsidR="003F29C5">
          <w:headerReference w:type="default" r:id="rId13"/>
          <w:footerReference w:type="default" r:id="rId14"/>
          <w:pgSz w:w="11910" w:h="16840"/>
          <w:pgMar w:top="1440" w:right="1080" w:bottom="1440" w:left="1080" w:header="873" w:footer="874" w:gutter="0"/>
          <w:cols w:space="720"/>
          <w:docGrid w:linePitch="299"/>
        </w:sectPr>
      </w:pPr>
    </w:p>
    <w:p w14:paraId="700DB53F" w14:textId="77777777" w:rsidR="003F29C5" w:rsidRDefault="00000000">
      <w:pPr>
        <w:pStyle w:val="1"/>
        <w:kinsoku w:val="0"/>
        <w:overflowPunct w:val="0"/>
        <w:spacing w:line="560" w:lineRule="exact"/>
        <w:ind w:left="0" w:right="858"/>
        <w:rPr>
          <w:rFonts w:ascii="黑体" w:eastAsia="黑体" w:hAnsi="黑体"/>
          <w:b w:val="0"/>
          <w:sz w:val="32"/>
          <w:szCs w:val="32"/>
        </w:rPr>
      </w:pPr>
      <w:r>
        <w:rPr>
          <w:rFonts w:ascii="黑体" w:eastAsia="黑体" w:hAnsi="黑体"/>
          <w:b w:val="0"/>
          <w:sz w:val="32"/>
          <w:szCs w:val="32"/>
        </w:rPr>
        <w:lastRenderedPageBreak/>
        <w:t>二、项目绩效目标</w:t>
      </w:r>
    </w:p>
    <w:p w14:paraId="58EF2859" w14:textId="77777777" w:rsidR="003F29C5" w:rsidRDefault="00000000">
      <w:pPr>
        <w:pStyle w:val="1"/>
        <w:kinsoku w:val="0"/>
        <w:overflowPunct w:val="0"/>
        <w:spacing w:line="560" w:lineRule="exact"/>
        <w:ind w:left="0" w:right="858"/>
        <w:rPr>
          <w:rFonts w:ascii="黑体" w:eastAsia="黑体" w:hAnsi="黑体"/>
          <w:b w:val="0"/>
          <w:sz w:val="32"/>
          <w:szCs w:val="32"/>
        </w:rPr>
      </w:pPr>
      <w:r>
        <w:rPr>
          <w:rFonts w:ascii="黑体" w:eastAsia="黑体" w:hAnsi="黑体"/>
          <w:b w:val="0"/>
          <w:sz w:val="32"/>
          <w:szCs w:val="32"/>
        </w:rPr>
        <w:t>（一）技术创新目标</w:t>
      </w:r>
    </w:p>
    <w:tbl>
      <w:tblPr>
        <w:tblW w:w="9963" w:type="dxa"/>
        <w:tblLayout w:type="fixed"/>
        <w:tblCellMar>
          <w:left w:w="0" w:type="dxa"/>
          <w:right w:w="0" w:type="dxa"/>
        </w:tblCellMar>
        <w:tblLook w:val="04A0" w:firstRow="1" w:lastRow="0" w:firstColumn="1" w:lastColumn="0" w:noHBand="0" w:noVBand="1"/>
      </w:tblPr>
      <w:tblGrid>
        <w:gridCol w:w="1793"/>
        <w:gridCol w:w="8170"/>
      </w:tblGrid>
      <w:tr w:rsidR="003F29C5" w14:paraId="1075DD95" w14:textId="77777777">
        <w:trPr>
          <w:trHeight w:val="512"/>
        </w:trPr>
        <w:tc>
          <w:tcPr>
            <w:tcW w:w="1793" w:type="dxa"/>
            <w:tcBorders>
              <w:top w:val="single" w:sz="6" w:space="0" w:color="000000"/>
              <w:left w:val="single" w:sz="6" w:space="0" w:color="000000"/>
              <w:bottom w:val="single" w:sz="6" w:space="0" w:color="000000"/>
              <w:right w:val="single" w:sz="6" w:space="0" w:color="000000"/>
              <w:tl2br w:val="nil"/>
              <w:tr2bl w:val="nil"/>
            </w:tcBorders>
            <w:vAlign w:val="center"/>
          </w:tcPr>
          <w:p w14:paraId="69EBBEEA" w14:textId="77777777" w:rsidR="003F29C5" w:rsidRDefault="00000000">
            <w:pPr>
              <w:pStyle w:val="TableParagraph"/>
              <w:kinsoku w:val="0"/>
              <w:overflowPunct w:val="0"/>
              <w:spacing w:before="71"/>
              <w:ind w:left="246" w:right="231"/>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成果形式</w:t>
            </w:r>
          </w:p>
        </w:tc>
        <w:tc>
          <w:tcPr>
            <w:tcW w:w="8170" w:type="dxa"/>
            <w:tcBorders>
              <w:top w:val="single" w:sz="6" w:space="0" w:color="000000"/>
              <w:left w:val="single" w:sz="6" w:space="0" w:color="000000"/>
              <w:bottom w:val="single" w:sz="6" w:space="0" w:color="000000"/>
              <w:right w:val="single" w:sz="6" w:space="0" w:color="000000"/>
              <w:tl2br w:val="nil"/>
              <w:tr2bl w:val="nil"/>
            </w:tcBorders>
          </w:tcPr>
          <w:p w14:paraId="1407F605" w14:textId="231D519E" w:rsidR="003F29C5" w:rsidRDefault="00000000">
            <w:pPr>
              <w:pStyle w:val="TableParagraph"/>
              <w:kinsoku w:val="0"/>
              <w:overflowPunct w:val="0"/>
              <w:spacing w:before="137"/>
              <w:ind w:left="51"/>
              <w:rPr>
                <w:rFonts w:hint="default"/>
                <w:w w:val="105"/>
                <w:sz w:val="20"/>
                <w:szCs w:val="20"/>
              </w:rPr>
            </w:pPr>
            <w:r>
              <w:rPr>
                <w:w w:val="105"/>
                <w:sz w:val="20"/>
                <w:szCs w:val="20"/>
              </w:rPr>
              <w:t xml:space="preserve">□专利 □技术标准 □认证、许可 □新工艺 □新装置 □新材料 </w:t>
            </w:r>
            <w:r w:rsidR="0031555A">
              <w:rPr>
                <w:w w:val="105"/>
                <w:sz w:val="20"/>
                <w:szCs w:val="20"/>
              </w:rPr>
              <w:t>√</w:t>
            </w:r>
            <w:r>
              <w:rPr>
                <w:w w:val="105"/>
                <w:sz w:val="20"/>
                <w:szCs w:val="20"/>
              </w:rPr>
              <w:t>论文论著 □其他</w:t>
            </w:r>
          </w:p>
        </w:tc>
      </w:tr>
      <w:tr w:rsidR="003F29C5" w14:paraId="0DA35273" w14:textId="77777777">
        <w:trPr>
          <w:trHeight w:val="703"/>
        </w:trPr>
        <w:tc>
          <w:tcPr>
            <w:tcW w:w="1793" w:type="dxa"/>
            <w:tcBorders>
              <w:top w:val="single" w:sz="6" w:space="0" w:color="000000"/>
              <w:left w:val="single" w:sz="6" w:space="0" w:color="000000"/>
              <w:bottom w:val="single" w:sz="6" w:space="0" w:color="000000"/>
              <w:right w:val="single" w:sz="6" w:space="0" w:color="000000"/>
              <w:tl2br w:val="nil"/>
              <w:tr2bl w:val="nil"/>
            </w:tcBorders>
            <w:vAlign w:val="center"/>
          </w:tcPr>
          <w:p w14:paraId="14C266B6" w14:textId="77777777" w:rsidR="003F29C5" w:rsidRDefault="00000000">
            <w:pPr>
              <w:pStyle w:val="TableParagraph"/>
              <w:kinsoku w:val="0"/>
              <w:overflowPunct w:val="0"/>
              <w:spacing w:before="166"/>
              <w:ind w:left="246" w:right="231"/>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知识产权</w:t>
            </w:r>
            <w:r>
              <w:rPr>
                <w:rFonts w:ascii="Microsoft JhengHei" w:eastAsia="等线" w:cs="Microsoft JhengHei"/>
                <w:b/>
                <w:w w:val="105"/>
                <w:sz w:val="20"/>
                <w:szCs w:val="20"/>
              </w:rPr>
              <w:t>指标</w:t>
            </w:r>
            <w:r>
              <w:rPr>
                <w:rFonts w:ascii="Microsoft JhengHei" w:eastAsia="Microsoft JhengHei" w:cs="Microsoft JhengHei"/>
                <w:b/>
                <w:w w:val="105"/>
                <w:sz w:val="20"/>
                <w:szCs w:val="20"/>
              </w:rPr>
              <w:t>(</w:t>
            </w:r>
            <w:r>
              <w:rPr>
                <w:rFonts w:ascii="Microsoft JhengHei" w:eastAsia="等线" w:cs="Microsoft JhengHei"/>
                <w:b/>
                <w:w w:val="105"/>
                <w:sz w:val="20"/>
                <w:szCs w:val="20"/>
              </w:rPr>
              <w:t>核心指标</w:t>
            </w:r>
            <w:r>
              <w:rPr>
                <w:rFonts w:ascii="Microsoft JhengHei" w:eastAsia="Microsoft JhengHei" w:cs="Microsoft JhengHei"/>
                <w:b/>
                <w:w w:val="105"/>
                <w:sz w:val="20"/>
                <w:szCs w:val="20"/>
              </w:rPr>
              <w:t>)</w:t>
            </w:r>
          </w:p>
        </w:tc>
        <w:tc>
          <w:tcPr>
            <w:tcW w:w="8170" w:type="dxa"/>
            <w:tcBorders>
              <w:top w:val="single" w:sz="6" w:space="0" w:color="000000"/>
              <w:left w:val="single" w:sz="6" w:space="0" w:color="000000"/>
              <w:bottom w:val="single" w:sz="6" w:space="0" w:color="000000"/>
              <w:right w:val="single" w:sz="6" w:space="0" w:color="000000"/>
              <w:tl2br w:val="nil"/>
              <w:tr2bl w:val="nil"/>
            </w:tcBorders>
          </w:tcPr>
          <w:p w14:paraId="00EB15D5" w14:textId="055CA632" w:rsidR="003F29C5" w:rsidRDefault="00000000">
            <w:pPr>
              <w:pStyle w:val="TableParagraph"/>
              <w:kinsoku w:val="0"/>
              <w:overflowPunct w:val="0"/>
              <w:spacing w:before="137"/>
              <w:ind w:left="51"/>
              <w:rPr>
                <w:rFonts w:hint="default"/>
                <w:w w:val="105"/>
                <w:sz w:val="20"/>
                <w:szCs w:val="20"/>
              </w:rPr>
            </w:pPr>
            <w:r>
              <w:rPr>
                <w:w w:val="105"/>
                <w:sz w:val="20"/>
                <w:szCs w:val="20"/>
              </w:rPr>
              <w:t>发明专利授权</w:t>
            </w:r>
            <w:r>
              <w:rPr>
                <w:w w:val="105"/>
                <w:sz w:val="20"/>
                <w:szCs w:val="20"/>
                <w:u w:val="single"/>
              </w:rPr>
              <w:t xml:space="preserve"> </w:t>
            </w:r>
            <w:r w:rsidR="0031555A">
              <w:rPr>
                <w:w w:val="105"/>
                <w:sz w:val="20"/>
                <w:szCs w:val="20"/>
                <w:u w:val="single"/>
              </w:rPr>
              <w:t>0</w:t>
            </w:r>
            <w:r>
              <w:rPr>
                <w:w w:val="105"/>
                <w:sz w:val="20"/>
                <w:szCs w:val="20"/>
                <w:u w:val="single"/>
              </w:rPr>
              <w:t xml:space="preserve">  </w:t>
            </w:r>
            <w:r>
              <w:rPr>
                <w:w w:val="105"/>
                <w:sz w:val="20"/>
                <w:szCs w:val="20"/>
              </w:rPr>
              <w:t>项，发明专利受理</w:t>
            </w:r>
            <w:r>
              <w:rPr>
                <w:w w:val="105"/>
                <w:sz w:val="20"/>
                <w:szCs w:val="20"/>
                <w:u w:val="single"/>
              </w:rPr>
              <w:t xml:space="preserve"> </w:t>
            </w:r>
            <w:r w:rsidR="0031555A">
              <w:rPr>
                <w:w w:val="105"/>
                <w:sz w:val="20"/>
                <w:szCs w:val="20"/>
                <w:u w:val="single"/>
              </w:rPr>
              <w:t>0</w:t>
            </w:r>
            <w:r>
              <w:rPr>
                <w:w w:val="105"/>
                <w:sz w:val="20"/>
                <w:szCs w:val="20"/>
                <w:u w:val="single"/>
              </w:rPr>
              <w:tab/>
            </w:r>
            <w:r>
              <w:rPr>
                <w:w w:val="105"/>
                <w:sz w:val="20"/>
                <w:szCs w:val="20"/>
              </w:rPr>
              <w:t>项</w:t>
            </w:r>
          </w:p>
          <w:p w14:paraId="55B14B51" w14:textId="6619333E" w:rsidR="003F29C5" w:rsidRDefault="00000000">
            <w:pPr>
              <w:pStyle w:val="TableParagraph"/>
              <w:kinsoku w:val="0"/>
              <w:overflowPunct w:val="0"/>
              <w:spacing w:before="137"/>
              <w:ind w:left="51"/>
              <w:rPr>
                <w:rFonts w:hint="default"/>
                <w:w w:val="105"/>
                <w:sz w:val="20"/>
                <w:szCs w:val="20"/>
              </w:rPr>
            </w:pPr>
            <w:r>
              <w:rPr>
                <w:w w:val="105"/>
                <w:sz w:val="20"/>
                <w:szCs w:val="20"/>
              </w:rPr>
              <w:t>实用新型专利授权</w:t>
            </w:r>
            <w:r>
              <w:rPr>
                <w:w w:val="105"/>
                <w:sz w:val="20"/>
                <w:szCs w:val="20"/>
                <w:u w:val="single"/>
              </w:rPr>
              <w:t xml:space="preserve"> </w:t>
            </w:r>
            <w:r w:rsidR="0031555A">
              <w:rPr>
                <w:w w:val="105"/>
                <w:sz w:val="20"/>
                <w:szCs w:val="20"/>
                <w:u w:val="single"/>
              </w:rPr>
              <w:t>0</w:t>
            </w:r>
            <w:r>
              <w:rPr>
                <w:w w:val="105"/>
                <w:sz w:val="20"/>
                <w:szCs w:val="20"/>
                <w:u w:val="single"/>
              </w:rPr>
              <w:t xml:space="preserve">  </w:t>
            </w:r>
            <w:r>
              <w:rPr>
                <w:w w:val="105"/>
                <w:sz w:val="20"/>
                <w:szCs w:val="20"/>
              </w:rPr>
              <w:t>项，实用新型专利受理</w:t>
            </w:r>
            <w:r>
              <w:rPr>
                <w:w w:val="105"/>
                <w:sz w:val="20"/>
                <w:szCs w:val="20"/>
                <w:u w:val="single"/>
              </w:rPr>
              <w:t xml:space="preserve"> </w:t>
            </w:r>
            <w:r w:rsidR="0031555A">
              <w:rPr>
                <w:w w:val="105"/>
                <w:sz w:val="20"/>
                <w:szCs w:val="20"/>
                <w:u w:val="single"/>
              </w:rPr>
              <w:t>0</w:t>
            </w:r>
            <w:r>
              <w:rPr>
                <w:w w:val="105"/>
                <w:sz w:val="20"/>
                <w:szCs w:val="20"/>
                <w:u w:val="single"/>
              </w:rPr>
              <w:t xml:space="preserve">  </w:t>
            </w:r>
            <w:r>
              <w:rPr>
                <w:w w:val="105"/>
                <w:sz w:val="20"/>
                <w:szCs w:val="20"/>
              </w:rPr>
              <w:t>项。</w:t>
            </w:r>
          </w:p>
        </w:tc>
      </w:tr>
      <w:tr w:rsidR="003F29C5" w14:paraId="35D08E38" w14:textId="77777777">
        <w:trPr>
          <w:trHeight w:val="512"/>
        </w:trPr>
        <w:tc>
          <w:tcPr>
            <w:tcW w:w="1793" w:type="dxa"/>
            <w:tcBorders>
              <w:top w:val="single" w:sz="6" w:space="0" w:color="000000"/>
              <w:left w:val="single" w:sz="6" w:space="0" w:color="000000"/>
              <w:bottom w:val="single" w:sz="6" w:space="0" w:color="000000"/>
              <w:right w:val="single" w:sz="6" w:space="0" w:color="000000"/>
              <w:tl2br w:val="nil"/>
              <w:tr2bl w:val="nil"/>
            </w:tcBorders>
            <w:vAlign w:val="center"/>
          </w:tcPr>
          <w:p w14:paraId="4D9EB38F" w14:textId="77777777" w:rsidR="003F29C5" w:rsidRDefault="00000000">
            <w:pPr>
              <w:pStyle w:val="TableParagraph"/>
              <w:kinsoku w:val="0"/>
              <w:overflowPunct w:val="0"/>
              <w:spacing w:before="71"/>
              <w:ind w:left="246" w:right="231"/>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技术标准制定</w:t>
            </w:r>
          </w:p>
        </w:tc>
        <w:tc>
          <w:tcPr>
            <w:tcW w:w="8170" w:type="dxa"/>
            <w:tcBorders>
              <w:top w:val="single" w:sz="6" w:space="0" w:color="000000"/>
              <w:left w:val="single" w:sz="6" w:space="0" w:color="000000"/>
              <w:bottom w:val="single" w:sz="6" w:space="0" w:color="000000"/>
              <w:right w:val="single" w:sz="6" w:space="0" w:color="000000"/>
              <w:tl2br w:val="nil"/>
              <w:tr2bl w:val="nil"/>
            </w:tcBorders>
          </w:tcPr>
          <w:p w14:paraId="5C5B4E1D" w14:textId="638FFD4C" w:rsidR="003F29C5" w:rsidRDefault="00000000">
            <w:pPr>
              <w:pStyle w:val="TableParagraph"/>
              <w:tabs>
                <w:tab w:val="left" w:pos="1375"/>
                <w:tab w:val="left" w:pos="3735"/>
                <w:tab w:val="left" w:pos="6095"/>
              </w:tabs>
              <w:kinsoku w:val="0"/>
              <w:overflowPunct w:val="0"/>
              <w:spacing w:before="137"/>
              <w:ind w:left="51"/>
              <w:rPr>
                <w:rFonts w:hint="default"/>
                <w:w w:val="105"/>
                <w:sz w:val="20"/>
                <w:szCs w:val="20"/>
              </w:rPr>
            </w:pPr>
            <w:r>
              <w:rPr>
                <w:w w:val="105"/>
                <w:sz w:val="20"/>
                <w:szCs w:val="20"/>
              </w:rPr>
              <w:t>国际标准</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w w:val="105"/>
                <w:sz w:val="20"/>
                <w:szCs w:val="20"/>
              </w:rPr>
              <w:t>项，国家、行业标准</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w w:val="105"/>
                <w:sz w:val="20"/>
                <w:szCs w:val="20"/>
              </w:rPr>
              <w:t>项，地方、企业标准</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w w:val="105"/>
                <w:sz w:val="20"/>
                <w:szCs w:val="20"/>
              </w:rPr>
              <w:t>项</w:t>
            </w:r>
          </w:p>
        </w:tc>
      </w:tr>
      <w:tr w:rsidR="003F29C5" w14:paraId="362B554B" w14:textId="77777777">
        <w:trPr>
          <w:trHeight w:val="992"/>
        </w:trPr>
        <w:tc>
          <w:tcPr>
            <w:tcW w:w="1793" w:type="dxa"/>
            <w:tcBorders>
              <w:top w:val="single" w:sz="6" w:space="0" w:color="000000"/>
              <w:left w:val="single" w:sz="6" w:space="0" w:color="000000"/>
              <w:bottom w:val="single" w:sz="6" w:space="0" w:color="000000"/>
              <w:right w:val="single" w:sz="6" w:space="0" w:color="000000"/>
              <w:tl2br w:val="nil"/>
              <w:tr2bl w:val="nil"/>
            </w:tcBorders>
            <w:vAlign w:val="center"/>
          </w:tcPr>
          <w:p w14:paraId="1CECD276" w14:textId="77777777" w:rsidR="003F29C5" w:rsidRDefault="00000000">
            <w:pPr>
              <w:pStyle w:val="TableParagraph"/>
              <w:kinsoku w:val="0"/>
              <w:overflowPunct w:val="0"/>
              <w:ind w:right="231"/>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认证</w:t>
            </w:r>
            <w:r>
              <w:rPr>
                <w:rFonts w:ascii="等线" w:eastAsia="等线" w:hAnsi="等线" w:cs="Microsoft JhengHei"/>
                <w:b/>
                <w:w w:val="105"/>
                <w:sz w:val="20"/>
                <w:szCs w:val="20"/>
              </w:rPr>
              <w:t>、</w:t>
            </w:r>
            <w:r>
              <w:rPr>
                <w:rFonts w:ascii="Microsoft JhengHei" w:eastAsia="Microsoft JhengHei" w:cs="Microsoft JhengHei"/>
                <w:b/>
                <w:w w:val="105"/>
                <w:sz w:val="20"/>
                <w:szCs w:val="20"/>
              </w:rPr>
              <w:t>许可</w:t>
            </w:r>
          </w:p>
        </w:tc>
        <w:tc>
          <w:tcPr>
            <w:tcW w:w="8170" w:type="dxa"/>
            <w:tcBorders>
              <w:top w:val="single" w:sz="6" w:space="0" w:color="000000"/>
              <w:left w:val="single" w:sz="6" w:space="0" w:color="000000"/>
              <w:bottom w:val="single" w:sz="6" w:space="0" w:color="000000"/>
              <w:right w:val="single" w:sz="6" w:space="0" w:color="000000"/>
              <w:tl2br w:val="nil"/>
              <w:tr2bl w:val="nil"/>
            </w:tcBorders>
          </w:tcPr>
          <w:p w14:paraId="4452C3B8" w14:textId="10D21BA0" w:rsidR="003F29C5" w:rsidRDefault="00000000">
            <w:pPr>
              <w:pStyle w:val="TableParagraph"/>
              <w:tabs>
                <w:tab w:val="left" w:pos="763"/>
                <w:tab w:val="left" w:pos="1063"/>
                <w:tab w:val="left" w:pos="2911"/>
                <w:tab w:val="left" w:pos="4963"/>
                <w:tab w:val="left" w:pos="5683"/>
              </w:tabs>
              <w:kinsoku w:val="0"/>
              <w:overflowPunct w:val="0"/>
              <w:spacing w:before="78" w:line="288" w:lineRule="auto"/>
              <w:ind w:left="51" w:right="37"/>
              <w:rPr>
                <w:rFonts w:hint="default"/>
                <w:w w:val="105"/>
                <w:sz w:val="20"/>
                <w:szCs w:val="20"/>
              </w:rPr>
            </w:pPr>
            <w:r>
              <w:rPr>
                <w:w w:val="105"/>
                <w:sz w:val="20"/>
                <w:szCs w:val="20"/>
              </w:rPr>
              <w:t>新药证书</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w w:val="105"/>
                <w:sz w:val="20"/>
                <w:szCs w:val="20"/>
              </w:rPr>
              <w:t>项，新品种审定证书</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 xml:space="preserve">  </w:t>
            </w:r>
            <w:r>
              <w:rPr>
                <w:w w:val="105"/>
                <w:sz w:val="20"/>
                <w:szCs w:val="20"/>
              </w:rPr>
              <w:t>项，计算机软件著作权登记证书</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sz w:val="20"/>
                <w:szCs w:val="20"/>
              </w:rPr>
              <w:t xml:space="preserve">项， </w:t>
            </w:r>
            <w:r>
              <w:rPr>
                <w:w w:val="105"/>
                <w:sz w:val="20"/>
                <w:szCs w:val="20"/>
              </w:rPr>
              <w:t>集成电路布图</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w w:val="105"/>
                <w:sz w:val="20"/>
                <w:szCs w:val="20"/>
              </w:rPr>
              <w:t>项，计量许可证书</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w w:val="105"/>
                <w:sz w:val="20"/>
                <w:szCs w:val="20"/>
              </w:rPr>
              <w:t>项，计量型式证书</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w w:val="105"/>
                <w:sz w:val="20"/>
                <w:szCs w:val="20"/>
              </w:rPr>
              <w:t>项，新药临床批件</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 xml:space="preserve"> </w:t>
            </w:r>
            <w:r>
              <w:rPr>
                <w:w w:val="105"/>
                <w:sz w:val="20"/>
                <w:szCs w:val="20"/>
              </w:rPr>
              <w:t>件，三类医疗器械注册受理证明</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 xml:space="preserve">  </w:t>
            </w:r>
            <w:r>
              <w:rPr>
                <w:sz w:val="20"/>
                <w:szCs w:val="20"/>
              </w:rPr>
              <w:t>件，三类医疗器械临床试验许可</w:t>
            </w:r>
            <w:r>
              <w:rPr>
                <w:spacing w:val="2"/>
                <w:sz w:val="20"/>
                <w:szCs w:val="20"/>
              </w:rPr>
              <w:t xml:space="preserve"> </w:t>
            </w:r>
            <w:r>
              <w:rPr>
                <w:w w:val="102"/>
                <w:sz w:val="20"/>
                <w:szCs w:val="20"/>
                <w:u w:val="single" w:color="000000"/>
              </w:rPr>
              <w:t xml:space="preserve"> </w:t>
            </w:r>
            <w:r>
              <w:rPr>
                <w:sz w:val="20"/>
                <w:szCs w:val="20"/>
                <w:u w:val="single" w:color="000000"/>
              </w:rPr>
              <w:tab/>
            </w:r>
            <w:r w:rsidR="0031555A">
              <w:rPr>
                <w:sz w:val="20"/>
                <w:szCs w:val="20"/>
                <w:u w:val="single" w:color="000000"/>
              </w:rPr>
              <w:t>0</w:t>
            </w:r>
            <w:r>
              <w:rPr>
                <w:w w:val="102"/>
                <w:sz w:val="20"/>
                <w:szCs w:val="20"/>
              </w:rPr>
              <w:t>件</w:t>
            </w:r>
          </w:p>
        </w:tc>
      </w:tr>
      <w:tr w:rsidR="003F29C5" w14:paraId="2EF26CE7" w14:textId="77777777">
        <w:trPr>
          <w:trHeight w:val="1011"/>
        </w:trPr>
        <w:tc>
          <w:tcPr>
            <w:tcW w:w="1793" w:type="dxa"/>
            <w:tcBorders>
              <w:top w:val="single" w:sz="6" w:space="0" w:color="000000"/>
              <w:left w:val="single" w:sz="6" w:space="0" w:color="000000"/>
              <w:bottom w:val="single" w:sz="6" w:space="0" w:color="000000"/>
              <w:right w:val="single" w:sz="6" w:space="0" w:color="000000"/>
              <w:tl2br w:val="nil"/>
              <w:tr2bl w:val="nil"/>
            </w:tcBorders>
            <w:vAlign w:val="center"/>
          </w:tcPr>
          <w:p w14:paraId="3773E3DB" w14:textId="77777777" w:rsidR="003F29C5" w:rsidRDefault="00000000">
            <w:pPr>
              <w:pStyle w:val="TableParagraph"/>
              <w:kinsoku w:val="0"/>
              <w:overflowPunct w:val="0"/>
              <w:spacing w:before="1"/>
              <w:ind w:right="231"/>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论文专著</w:t>
            </w:r>
          </w:p>
          <w:p w14:paraId="73F91894" w14:textId="77777777" w:rsidR="003F29C5" w:rsidRDefault="00000000">
            <w:pPr>
              <w:pStyle w:val="TableParagraph"/>
              <w:kinsoku w:val="0"/>
              <w:overflowPunct w:val="0"/>
              <w:spacing w:before="1"/>
              <w:ind w:left="246" w:right="231"/>
              <w:jc w:val="center"/>
              <w:rPr>
                <w:rFonts w:ascii="Microsoft JhengHei" w:eastAsia="Microsoft JhengHei" w:cs="Microsoft JhengHei" w:hint="default"/>
                <w:b/>
                <w:w w:val="105"/>
                <w:sz w:val="20"/>
                <w:szCs w:val="20"/>
              </w:rPr>
            </w:pPr>
            <w:r>
              <w:rPr>
                <w:rFonts w:ascii="等线" w:eastAsia="等线" w:hAnsi="等线" w:cs="Microsoft JhengHei"/>
                <w:b/>
                <w:w w:val="105"/>
                <w:sz w:val="20"/>
                <w:szCs w:val="20"/>
              </w:rPr>
              <w:t>（核心指标）</w:t>
            </w:r>
          </w:p>
        </w:tc>
        <w:tc>
          <w:tcPr>
            <w:tcW w:w="8170" w:type="dxa"/>
            <w:tcBorders>
              <w:top w:val="single" w:sz="6" w:space="0" w:color="000000"/>
              <w:left w:val="single" w:sz="6" w:space="0" w:color="000000"/>
              <w:bottom w:val="single" w:sz="6" w:space="0" w:color="000000"/>
              <w:right w:val="single" w:sz="6" w:space="0" w:color="000000"/>
              <w:tl2br w:val="nil"/>
              <w:tr2bl w:val="nil"/>
            </w:tcBorders>
          </w:tcPr>
          <w:p w14:paraId="3630E5AB" w14:textId="7BF824B6" w:rsidR="003F29C5" w:rsidRDefault="00000000">
            <w:pPr>
              <w:pStyle w:val="TableParagraph"/>
              <w:tabs>
                <w:tab w:val="left" w:pos="1180"/>
                <w:tab w:val="left" w:pos="1385"/>
                <w:tab w:val="left" w:pos="2719"/>
                <w:tab w:val="left" w:pos="3129"/>
                <w:tab w:val="left" w:pos="4361"/>
                <w:tab w:val="left" w:pos="4976"/>
                <w:tab w:val="left" w:pos="6516"/>
              </w:tabs>
              <w:kinsoku w:val="0"/>
              <w:overflowPunct w:val="0"/>
              <w:spacing w:before="35" w:line="300" w:lineRule="atLeast"/>
              <w:ind w:left="51" w:right="37"/>
              <w:rPr>
                <w:rFonts w:hint="default"/>
                <w:w w:val="105"/>
                <w:sz w:val="20"/>
                <w:szCs w:val="20"/>
              </w:rPr>
            </w:pPr>
            <w:commentRangeStart w:id="16"/>
            <w:r>
              <w:rPr>
                <w:w w:val="105"/>
                <w:sz w:val="20"/>
                <w:szCs w:val="20"/>
              </w:rPr>
              <w:t>公开发表</w:t>
            </w:r>
            <w:r>
              <w:rPr>
                <w:w w:val="105"/>
                <w:sz w:val="20"/>
                <w:szCs w:val="20"/>
                <w:u w:val="single" w:color="000000"/>
              </w:rPr>
              <w:t xml:space="preserve"> </w:t>
            </w:r>
            <w:r w:rsidR="0031555A">
              <w:rPr>
                <w:w w:val="105"/>
                <w:sz w:val="20"/>
                <w:szCs w:val="20"/>
                <w:u w:val="single" w:color="000000"/>
              </w:rPr>
              <w:t>2</w:t>
            </w:r>
            <w:r>
              <w:rPr>
                <w:spacing w:val="71"/>
                <w:w w:val="105"/>
                <w:sz w:val="20"/>
                <w:szCs w:val="20"/>
                <w:u w:val="single" w:color="000000"/>
              </w:rPr>
              <w:t xml:space="preserve"> </w:t>
            </w:r>
            <w:r>
              <w:rPr>
                <w:w w:val="105"/>
                <w:sz w:val="20"/>
                <w:szCs w:val="20"/>
                <w:u w:val="single" w:color="000000"/>
              </w:rPr>
              <w:tab/>
            </w:r>
            <w:r>
              <w:rPr>
                <w:w w:val="105"/>
                <w:sz w:val="20"/>
                <w:szCs w:val="20"/>
              </w:rPr>
              <w:t>篇，其中：中文核心期刊论文</w:t>
            </w:r>
            <w:r>
              <w:rPr>
                <w:w w:val="105"/>
                <w:sz w:val="20"/>
                <w:szCs w:val="20"/>
                <w:u w:val="single" w:color="000000"/>
              </w:rPr>
              <w:t xml:space="preserve"> </w:t>
            </w:r>
            <w:r w:rsidR="0031555A">
              <w:rPr>
                <w:w w:val="105"/>
                <w:sz w:val="20"/>
                <w:szCs w:val="20"/>
                <w:u w:val="single" w:color="000000"/>
              </w:rPr>
              <w:t>0</w:t>
            </w:r>
            <w:r>
              <w:rPr>
                <w:w w:val="105"/>
                <w:sz w:val="20"/>
                <w:szCs w:val="20"/>
                <w:u w:val="single" w:color="000000"/>
              </w:rPr>
              <w:tab/>
            </w:r>
            <w:r>
              <w:rPr>
                <w:w w:val="105"/>
                <w:sz w:val="20"/>
                <w:szCs w:val="20"/>
              </w:rPr>
              <w:t>篇，国外学术论文</w:t>
            </w:r>
            <w:r>
              <w:rPr>
                <w:w w:val="105"/>
                <w:sz w:val="20"/>
                <w:szCs w:val="20"/>
                <w:u w:val="single" w:color="000000"/>
              </w:rPr>
              <w:t xml:space="preserve"> </w:t>
            </w:r>
            <w:r>
              <w:rPr>
                <w:spacing w:val="58"/>
                <w:w w:val="105"/>
                <w:sz w:val="20"/>
                <w:szCs w:val="20"/>
                <w:u w:val="single" w:color="000000"/>
              </w:rPr>
              <w:t xml:space="preserve"> </w:t>
            </w:r>
            <w:r w:rsidR="0031555A">
              <w:rPr>
                <w:spacing w:val="58"/>
                <w:w w:val="105"/>
                <w:sz w:val="20"/>
                <w:szCs w:val="20"/>
                <w:u w:val="single" w:color="000000"/>
              </w:rPr>
              <w:t>2</w:t>
            </w:r>
            <w:r>
              <w:rPr>
                <w:w w:val="105"/>
                <w:sz w:val="20"/>
                <w:szCs w:val="20"/>
                <w:u w:val="single" w:color="000000"/>
              </w:rPr>
              <w:tab/>
            </w:r>
            <w:r>
              <w:rPr>
                <w:w w:val="105"/>
                <w:sz w:val="20"/>
                <w:szCs w:val="20"/>
              </w:rPr>
              <w:t>篇，以第一作者或通讯作者发表SCI论文</w:t>
            </w:r>
            <w:r>
              <w:rPr>
                <w:w w:val="105"/>
                <w:sz w:val="20"/>
                <w:szCs w:val="20"/>
                <w:u w:val="single" w:color="000000"/>
              </w:rPr>
              <w:t xml:space="preserve"> </w:t>
            </w:r>
            <w:r w:rsidR="0031555A">
              <w:rPr>
                <w:w w:val="105"/>
                <w:sz w:val="20"/>
                <w:szCs w:val="20"/>
                <w:u w:val="single" w:color="000000"/>
              </w:rPr>
              <w:t>2</w:t>
            </w:r>
            <w:r>
              <w:rPr>
                <w:w w:val="105"/>
                <w:sz w:val="20"/>
                <w:szCs w:val="20"/>
                <w:u w:val="single" w:color="000000"/>
              </w:rPr>
              <w:tab/>
            </w:r>
            <w:r>
              <w:rPr>
                <w:w w:val="105"/>
                <w:sz w:val="20"/>
                <w:szCs w:val="20"/>
              </w:rPr>
              <w:t>篇，论文引用</w:t>
            </w:r>
            <w:r>
              <w:rPr>
                <w:w w:val="105"/>
                <w:sz w:val="20"/>
                <w:szCs w:val="20"/>
                <w:u w:val="single" w:color="000000"/>
              </w:rPr>
              <w:t xml:space="preserve"> </w:t>
            </w:r>
            <w:r w:rsidR="0031555A">
              <w:rPr>
                <w:w w:val="105"/>
                <w:sz w:val="20"/>
                <w:szCs w:val="20"/>
                <w:u w:val="single" w:color="000000"/>
              </w:rPr>
              <w:t>0</w:t>
            </w:r>
            <w:r>
              <w:rPr>
                <w:spacing w:val="63"/>
                <w:w w:val="105"/>
                <w:sz w:val="20"/>
                <w:szCs w:val="20"/>
                <w:u w:val="single" w:color="000000"/>
              </w:rPr>
              <w:t xml:space="preserve"> </w:t>
            </w:r>
            <w:r>
              <w:rPr>
                <w:w w:val="105"/>
                <w:sz w:val="20"/>
                <w:szCs w:val="20"/>
                <w:u w:val="single" w:color="000000"/>
              </w:rPr>
              <w:tab/>
            </w:r>
            <w:r>
              <w:rPr>
                <w:w w:val="105"/>
                <w:sz w:val="20"/>
                <w:szCs w:val="20"/>
              </w:rPr>
              <w:t>次；</w:t>
            </w:r>
            <w:commentRangeEnd w:id="16"/>
            <w:r w:rsidR="0031555A">
              <w:rPr>
                <w:rStyle w:val="ad"/>
                <w:rFonts w:hint="default"/>
                <w:w w:val="105"/>
                <w:sz w:val="20"/>
                <w:szCs w:val="20"/>
              </w:rPr>
              <w:commentReference w:id="16"/>
            </w:r>
          </w:p>
          <w:p w14:paraId="0CE7AD5C" w14:textId="77777777" w:rsidR="003F29C5" w:rsidRDefault="00000000">
            <w:pPr>
              <w:pStyle w:val="TableParagraph"/>
              <w:tabs>
                <w:tab w:val="left" w:pos="1180"/>
                <w:tab w:val="left" w:pos="1385"/>
                <w:tab w:val="left" w:pos="2719"/>
                <w:tab w:val="left" w:pos="3129"/>
                <w:tab w:val="left" w:pos="4361"/>
                <w:tab w:val="left" w:pos="4976"/>
                <w:tab w:val="left" w:pos="6516"/>
              </w:tabs>
              <w:kinsoku w:val="0"/>
              <w:overflowPunct w:val="0"/>
              <w:spacing w:before="35" w:line="300" w:lineRule="atLeast"/>
              <w:ind w:left="51" w:right="713"/>
              <w:rPr>
                <w:rFonts w:hint="default"/>
                <w:w w:val="105"/>
                <w:sz w:val="20"/>
                <w:szCs w:val="20"/>
              </w:rPr>
            </w:pPr>
            <w:r>
              <w:rPr>
                <w:w w:val="105"/>
                <w:sz w:val="20"/>
                <w:szCs w:val="20"/>
              </w:rPr>
              <w:t>出版专著</w:t>
            </w:r>
            <w:r>
              <w:rPr>
                <w:w w:val="105"/>
                <w:sz w:val="20"/>
                <w:szCs w:val="20"/>
                <w:u w:val="single" w:color="000000"/>
              </w:rPr>
              <w:t xml:space="preserve"> </w:t>
            </w:r>
            <w:r>
              <w:rPr>
                <w:w w:val="105"/>
                <w:sz w:val="20"/>
                <w:szCs w:val="20"/>
                <w:u w:val="single" w:color="000000"/>
              </w:rPr>
              <w:tab/>
            </w:r>
            <w:r>
              <w:rPr>
                <w:sz w:val="20"/>
                <w:szCs w:val="20"/>
              </w:rPr>
              <w:t>部,其中</w:t>
            </w:r>
            <w:r>
              <w:rPr>
                <w:spacing w:val="-18"/>
                <w:sz w:val="20"/>
                <w:szCs w:val="20"/>
              </w:rPr>
              <w:t xml:space="preserve">： </w:t>
            </w:r>
            <w:r>
              <w:rPr>
                <w:w w:val="105"/>
                <w:sz w:val="20"/>
                <w:szCs w:val="20"/>
              </w:rPr>
              <w:t>中文专著</w:t>
            </w:r>
            <w:r>
              <w:rPr>
                <w:w w:val="105"/>
                <w:sz w:val="20"/>
                <w:szCs w:val="20"/>
                <w:u w:val="single" w:color="000000"/>
              </w:rPr>
              <w:t xml:space="preserve"> </w:t>
            </w:r>
            <w:r>
              <w:rPr>
                <w:w w:val="105"/>
                <w:sz w:val="20"/>
                <w:szCs w:val="20"/>
                <w:u w:val="single" w:color="000000"/>
              </w:rPr>
              <w:tab/>
            </w:r>
            <w:r>
              <w:rPr>
                <w:w w:val="105"/>
                <w:sz w:val="20"/>
                <w:szCs w:val="20"/>
              </w:rPr>
              <w:t>部，外文专著</w:t>
            </w:r>
            <w:r>
              <w:rPr>
                <w:w w:val="105"/>
                <w:sz w:val="20"/>
                <w:szCs w:val="20"/>
                <w:u w:val="single" w:color="000000"/>
              </w:rPr>
              <w:t xml:space="preserve"> </w:t>
            </w:r>
            <w:r>
              <w:rPr>
                <w:w w:val="105"/>
                <w:sz w:val="20"/>
                <w:szCs w:val="20"/>
                <w:u w:val="single" w:color="000000"/>
              </w:rPr>
              <w:tab/>
            </w:r>
            <w:r>
              <w:rPr>
                <w:w w:val="105"/>
                <w:sz w:val="20"/>
                <w:szCs w:val="20"/>
              </w:rPr>
              <w:t>部。</w:t>
            </w:r>
          </w:p>
        </w:tc>
      </w:tr>
      <w:tr w:rsidR="003F29C5" w14:paraId="1D1AC758" w14:textId="77777777">
        <w:trPr>
          <w:trHeight w:val="399"/>
        </w:trPr>
        <w:tc>
          <w:tcPr>
            <w:tcW w:w="1793" w:type="dxa"/>
            <w:tcBorders>
              <w:top w:val="single" w:sz="6" w:space="0" w:color="000000"/>
              <w:left w:val="single" w:sz="6" w:space="0" w:color="000000"/>
              <w:bottom w:val="single" w:sz="6" w:space="0" w:color="000000"/>
              <w:right w:val="single" w:sz="6" w:space="0" w:color="000000"/>
              <w:tl2br w:val="nil"/>
              <w:tr2bl w:val="nil"/>
            </w:tcBorders>
            <w:vAlign w:val="center"/>
          </w:tcPr>
          <w:p w14:paraId="2548A287" w14:textId="77777777" w:rsidR="003F29C5" w:rsidRDefault="00000000">
            <w:pPr>
              <w:pStyle w:val="TableParagraph"/>
              <w:kinsoku w:val="0"/>
              <w:overflowPunct w:val="0"/>
              <w:spacing w:before="1"/>
              <w:ind w:right="231"/>
              <w:jc w:val="center"/>
              <w:rPr>
                <w:rFonts w:ascii="Microsoft JhengHei" w:eastAsia="Microsoft JhengHei" w:cs="Microsoft JhengHei" w:hint="default"/>
                <w:b/>
                <w:w w:val="105"/>
                <w:sz w:val="20"/>
                <w:szCs w:val="20"/>
              </w:rPr>
            </w:pPr>
            <w:r>
              <w:rPr>
                <w:rFonts w:ascii="等线" w:eastAsia="等线" w:hAnsi="等线" w:cs="Microsoft JhengHei"/>
                <w:b/>
                <w:w w:val="105"/>
                <w:sz w:val="20"/>
                <w:szCs w:val="20"/>
              </w:rPr>
              <w:t>项目</w:t>
            </w:r>
          </w:p>
        </w:tc>
        <w:tc>
          <w:tcPr>
            <w:tcW w:w="8170" w:type="dxa"/>
            <w:tcBorders>
              <w:top w:val="single" w:sz="6" w:space="0" w:color="000000"/>
              <w:left w:val="single" w:sz="6" w:space="0" w:color="000000"/>
              <w:bottom w:val="single" w:sz="6" w:space="0" w:color="000000"/>
              <w:right w:val="single" w:sz="6" w:space="0" w:color="000000"/>
              <w:tl2br w:val="nil"/>
              <w:tr2bl w:val="nil"/>
            </w:tcBorders>
          </w:tcPr>
          <w:p w14:paraId="6E8FC8E4" w14:textId="77777777" w:rsidR="003F29C5" w:rsidRDefault="00000000">
            <w:pPr>
              <w:pStyle w:val="TableParagraph"/>
              <w:tabs>
                <w:tab w:val="left" w:pos="1385"/>
                <w:tab w:val="left" w:pos="2719"/>
                <w:tab w:val="left" w:pos="3129"/>
                <w:tab w:val="left" w:pos="4361"/>
                <w:tab w:val="left" w:pos="4976"/>
                <w:tab w:val="left" w:pos="6516"/>
              </w:tabs>
              <w:kinsoku w:val="0"/>
              <w:overflowPunct w:val="0"/>
              <w:spacing w:before="35" w:line="300" w:lineRule="atLeast"/>
              <w:ind w:left="51" w:right="37"/>
              <w:rPr>
                <w:rFonts w:hint="default"/>
                <w:w w:val="105"/>
                <w:sz w:val="20"/>
                <w:szCs w:val="20"/>
              </w:rPr>
            </w:pPr>
            <w:r>
              <w:rPr>
                <w:w w:val="105"/>
                <w:sz w:val="20"/>
                <w:szCs w:val="20"/>
              </w:rPr>
              <w:t>国家级项目</w:t>
            </w:r>
            <w:r>
              <w:rPr>
                <w:w w:val="105"/>
                <w:sz w:val="20"/>
                <w:szCs w:val="20"/>
                <w:u w:val="single" w:color="000000"/>
              </w:rPr>
              <w:tab/>
            </w:r>
            <w:r>
              <w:rPr>
                <w:w w:val="105"/>
                <w:sz w:val="20"/>
                <w:szCs w:val="20"/>
              </w:rPr>
              <w:t>项，省部级项目</w:t>
            </w:r>
            <w:r>
              <w:rPr>
                <w:w w:val="105"/>
                <w:sz w:val="20"/>
                <w:szCs w:val="20"/>
                <w:u w:val="single" w:color="000000"/>
              </w:rPr>
              <w:tab/>
            </w:r>
            <w:r>
              <w:rPr>
                <w:w w:val="105"/>
                <w:sz w:val="20"/>
                <w:szCs w:val="20"/>
              </w:rPr>
              <w:t>项，厅局级项目</w:t>
            </w:r>
            <w:r>
              <w:rPr>
                <w:w w:val="105"/>
                <w:sz w:val="20"/>
                <w:szCs w:val="20"/>
                <w:u w:val="single" w:color="000000"/>
              </w:rPr>
              <w:tab/>
            </w:r>
            <w:r>
              <w:rPr>
                <w:w w:val="105"/>
                <w:sz w:val="20"/>
                <w:szCs w:val="20"/>
              </w:rPr>
              <w:t>项，横向到账经费</w:t>
            </w:r>
            <w:r>
              <w:rPr>
                <w:w w:val="105"/>
                <w:sz w:val="20"/>
                <w:szCs w:val="20"/>
                <w:u w:val="single" w:color="000000"/>
              </w:rPr>
              <w:tab/>
            </w:r>
            <w:r>
              <w:rPr>
                <w:w w:val="105"/>
                <w:sz w:val="20"/>
                <w:szCs w:val="20"/>
              </w:rPr>
              <w:t>万元。</w:t>
            </w:r>
          </w:p>
        </w:tc>
      </w:tr>
    </w:tbl>
    <w:p w14:paraId="275E3FD4" w14:textId="77777777" w:rsidR="003F29C5" w:rsidRDefault="00000000">
      <w:pPr>
        <w:pStyle w:val="1"/>
        <w:kinsoku w:val="0"/>
        <w:overflowPunct w:val="0"/>
        <w:spacing w:line="560" w:lineRule="exact"/>
        <w:ind w:left="0" w:right="858"/>
        <w:rPr>
          <w:rFonts w:ascii="黑体" w:eastAsia="黑体" w:hAnsi="黑体"/>
          <w:b w:val="0"/>
          <w:sz w:val="32"/>
          <w:szCs w:val="32"/>
        </w:rPr>
      </w:pPr>
      <w:r>
        <w:rPr>
          <w:rFonts w:ascii="黑体" w:eastAsia="黑体" w:hAnsi="黑体"/>
          <w:b w:val="0"/>
          <w:sz w:val="32"/>
          <w:szCs w:val="32"/>
        </w:rPr>
        <w:t>（二）</w:t>
      </w:r>
      <w:commentRangeStart w:id="17"/>
      <w:r>
        <w:rPr>
          <w:rFonts w:ascii="黑体" w:eastAsia="黑体" w:hAnsi="黑体"/>
          <w:b w:val="0"/>
          <w:sz w:val="32"/>
          <w:szCs w:val="32"/>
        </w:rPr>
        <w:t>人才培养目标</w:t>
      </w:r>
      <w:commentRangeEnd w:id="17"/>
      <w:r w:rsidR="0031555A">
        <w:rPr>
          <w:rStyle w:val="ad"/>
          <w:rFonts w:ascii="黑体" w:eastAsia="黑体" w:hAnsi="黑体"/>
          <w:b w:val="0"/>
          <w:sz w:val="32"/>
          <w:szCs w:val="32"/>
        </w:rPr>
        <w:commentReference w:id="17"/>
      </w:r>
    </w:p>
    <w:tbl>
      <w:tblPr>
        <w:tblW w:w="9963" w:type="dxa"/>
        <w:tblLayout w:type="fixed"/>
        <w:tblCellMar>
          <w:left w:w="0" w:type="dxa"/>
          <w:right w:w="0" w:type="dxa"/>
        </w:tblCellMar>
        <w:tblLook w:val="04A0" w:firstRow="1" w:lastRow="0" w:firstColumn="1" w:lastColumn="0" w:noHBand="0" w:noVBand="1"/>
      </w:tblPr>
      <w:tblGrid>
        <w:gridCol w:w="1792"/>
        <w:gridCol w:w="8171"/>
      </w:tblGrid>
      <w:tr w:rsidR="003F29C5" w14:paraId="4C6BE2DE" w14:textId="77777777">
        <w:trPr>
          <w:trHeight w:val="512"/>
        </w:trPr>
        <w:tc>
          <w:tcPr>
            <w:tcW w:w="1792" w:type="dxa"/>
            <w:tcBorders>
              <w:top w:val="single" w:sz="6" w:space="0" w:color="000000"/>
              <w:left w:val="single" w:sz="6" w:space="0" w:color="000000"/>
              <w:bottom w:val="single" w:sz="6" w:space="0" w:color="000000"/>
              <w:right w:val="single" w:sz="6" w:space="0" w:color="000000"/>
              <w:tl2br w:val="nil"/>
              <w:tr2bl w:val="nil"/>
            </w:tcBorders>
          </w:tcPr>
          <w:p w14:paraId="65C37F15" w14:textId="77777777" w:rsidR="003F29C5" w:rsidRDefault="00000000">
            <w:pPr>
              <w:pStyle w:val="TableParagraph"/>
              <w:kinsoku w:val="0"/>
              <w:overflowPunct w:val="0"/>
              <w:spacing w:before="71"/>
              <w:ind w:left="140" w:right="126"/>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职称晋升</w:t>
            </w:r>
          </w:p>
        </w:tc>
        <w:tc>
          <w:tcPr>
            <w:tcW w:w="8171" w:type="dxa"/>
            <w:tcBorders>
              <w:top w:val="single" w:sz="6" w:space="0" w:color="000000"/>
              <w:left w:val="single" w:sz="6" w:space="0" w:color="000000"/>
              <w:bottom w:val="single" w:sz="6" w:space="0" w:color="000000"/>
              <w:right w:val="single" w:sz="6" w:space="0" w:color="000000"/>
              <w:tl2br w:val="nil"/>
              <w:tr2bl w:val="nil"/>
            </w:tcBorders>
          </w:tcPr>
          <w:p w14:paraId="17EF2505" w14:textId="77777777" w:rsidR="003F29C5" w:rsidRDefault="00000000">
            <w:pPr>
              <w:pStyle w:val="TableParagraph"/>
              <w:tabs>
                <w:tab w:val="left" w:pos="2095"/>
              </w:tabs>
              <w:kinsoku w:val="0"/>
              <w:overflowPunct w:val="0"/>
              <w:spacing w:before="137"/>
              <w:ind w:left="51"/>
              <w:rPr>
                <w:rFonts w:hint="default"/>
                <w:w w:val="105"/>
                <w:sz w:val="20"/>
                <w:szCs w:val="20"/>
              </w:rPr>
            </w:pPr>
            <w:r>
              <w:rPr>
                <w:w w:val="105"/>
                <w:sz w:val="20"/>
                <w:szCs w:val="20"/>
              </w:rPr>
              <w:t>高级</w:t>
            </w:r>
            <w:r>
              <w:rPr>
                <w:w w:val="105"/>
                <w:sz w:val="20"/>
                <w:szCs w:val="20"/>
                <w:u w:val="single" w:color="000000"/>
              </w:rPr>
              <w:t xml:space="preserve">  </w:t>
            </w:r>
            <w:r>
              <w:rPr>
                <w:spacing w:val="75"/>
                <w:w w:val="105"/>
                <w:sz w:val="20"/>
                <w:szCs w:val="20"/>
                <w:u w:val="single" w:color="000000"/>
              </w:rPr>
              <w:t xml:space="preserve"> </w:t>
            </w:r>
            <w:r>
              <w:rPr>
                <w:w w:val="105"/>
                <w:sz w:val="20"/>
                <w:szCs w:val="20"/>
              </w:rPr>
              <w:t>人，中级</w:t>
            </w:r>
            <w:r>
              <w:rPr>
                <w:w w:val="105"/>
                <w:sz w:val="20"/>
                <w:szCs w:val="20"/>
                <w:u w:val="single" w:color="000000"/>
              </w:rPr>
              <w:t xml:space="preserve"> </w:t>
            </w:r>
            <w:r>
              <w:rPr>
                <w:w w:val="105"/>
                <w:sz w:val="20"/>
                <w:szCs w:val="20"/>
                <w:u w:val="single" w:color="000000"/>
              </w:rPr>
              <w:tab/>
            </w:r>
            <w:r>
              <w:rPr>
                <w:w w:val="105"/>
                <w:sz w:val="20"/>
                <w:szCs w:val="20"/>
              </w:rPr>
              <w:t>人。</w:t>
            </w:r>
          </w:p>
        </w:tc>
      </w:tr>
      <w:tr w:rsidR="003F29C5" w14:paraId="2633E0EB" w14:textId="77777777">
        <w:trPr>
          <w:trHeight w:val="1011"/>
        </w:trPr>
        <w:tc>
          <w:tcPr>
            <w:tcW w:w="1792" w:type="dxa"/>
            <w:tcBorders>
              <w:top w:val="single" w:sz="6" w:space="0" w:color="000000"/>
              <w:left w:val="single" w:sz="6" w:space="0" w:color="000000"/>
              <w:bottom w:val="single" w:sz="6" w:space="0" w:color="000000"/>
              <w:right w:val="single" w:sz="6" w:space="0" w:color="000000"/>
              <w:tl2br w:val="nil"/>
              <w:tr2bl w:val="nil"/>
            </w:tcBorders>
          </w:tcPr>
          <w:p w14:paraId="61EB4560" w14:textId="77777777" w:rsidR="003F29C5" w:rsidRDefault="003F29C5">
            <w:pPr>
              <w:pStyle w:val="TableParagraph"/>
              <w:kinsoku w:val="0"/>
              <w:overflowPunct w:val="0"/>
              <w:spacing w:before="7"/>
              <w:rPr>
                <w:rFonts w:ascii="Microsoft JhengHei" w:eastAsia="Microsoft JhengHei" w:cs="Microsoft JhengHei" w:hint="default"/>
                <w:b/>
                <w:sz w:val="17"/>
                <w:szCs w:val="17"/>
              </w:rPr>
            </w:pPr>
          </w:p>
          <w:p w14:paraId="19D14ED7" w14:textId="77777777" w:rsidR="003F29C5" w:rsidRDefault="00000000">
            <w:pPr>
              <w:pStyle w:val="TableParagraph"/>
              <w:kinsoku w:val="0"/>
              <w:overflowPunct w:val="0"/>
              <w:spacing w:before="1"/>
              <w:ind w:left="140" w:right="126"/>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学位人才</w:t>
            </w:r>
          </w:p>
        </w:tc>
        <w:tc>
          <w:tcPr>
            <w:tcW w:w="8171" w:type="dxa"/>
            <w:tcBorders>
              <w:top w:val="single" w:sz="6" w:space="0" w:color="000000"/>
              <w:left w:val="single" w:sz="6" w:space="0" w:color="000000"/>
              <w:bottom w:val="single" w:sz="6" w:space="0" w:color="000000"/>
              <w:right w:val="single" w:sz="6" w:space="0" w:color="000000"/>
              <w:tl2br w:val="nil"/>
              <w:tr2bl w:val="nil"/>
            </w:tcBorders>
          </w:tcPr>
          <w:p w14:paraId="0DCA5537" w14:textId="77777777" w:rsidR="003F29C5" w:rsidRDefault="00000000">
            <w:pPr>
              <w:pStyle w:val="TableParagraph"/>
              <w:tabs>
                <w:tab w:val="left" w:pos="964"/>
                <w:tab w:val="left" w:pos="1580"/>
                <w:tab w:val="left" w:pos="3325"/>
                <w:tab w:val="left" w:pos="3940"/>
                <w:tab w:val="left" w:pos="5685"/>
                <w:tab w:val="left" w:pos="6300"/>
              </w:tabs>
              <w:kinsoku w:val="0"/>
              <w:overflowPunct w:val="0"/>
              <w:spacing w:before="78" w:line="288" w:lineRule="auto"/>
              <w:ind w:left="51" w:right="816"/>
              <w:rPr>
                <w:rFonts w:hint="default"/>
                <w:spacing w:val="55"/>
                <w:w w:val="105"/>
                <w:sz w:val="20"/>
                <w:szCs w:val="20"/>
              </w:rPr>
            </w:pPr>
            <w:r>
              <w:rPr>
                <w:w w:val="105"/>
                <w:sz w:val="20"/>
                <w:szCs w:val="20"/>
              </w:rPr>
              <w:t>在读博士后</w:t>
            </w:r>
            <w:r>
              <w:rPr>
                <w:w w:val="105"/>
                <w:sz w:val="20"/>
                <w:szCs w:val="20"/>
                <w:u w:val="single" w:color="000000"/>
              </w:rPr>
              <w:t xml:space="preserve"> </w:t>
            </w:r>
            <w:r>
              <w:rPr>
                <w:w w:val="105"/>
                <w:sz w:val="20"/>
                <w:szCs w:val="20"/>
                <w:u w:val="single" w:color="000000"/>
              </w:rPr>
              <w:tab/>
            </w:r>
            <w:r>
              <w:rPr>
                <w:w w:val="105"/>
                <w:sz w:val="20"/>
                <w:szCs w:val="20"/>
              </w:rPr>
              <w:t>人，在读博士研究生</w:t>
            </w:r>
            <w:r>
              <w:rPr>
                <w:w w:val="105"/>
                <w:sz w:val="20"/>
                <w:szCs w:val="20"/>
                <w:u w:val="single" w:color="000000"/>
              </w:rPr>
              <w:t xml:space="preserve"> </w:t>
            </w:r>
            <w:r>
              <w:rPr>
                <w:w w:val="105"/>
                <w:sz w:val="20"/>
                <w:szCs w:val="20"/>
                <w:u w:val="single" w:color="000000"/>
              </w:rPr>
              <w:tab/>
            </w:r>
            <w:r>
              <w:rPr>
                <w:w w:val="105"/>
                <w:sz w:val="20"/>
                <w:szCs w:val="20"/>
              </w:rPr>
              <w:t>人，在读硕士研究生</w:t>
            </w:r>
            <w:r>
              <w:rPr>
                <w:w w:val="105"/>
                <w:sz w:val="20"/>
                <w:szCs w:val="20"/>
                <w:u w:val="single" w:color="000000"/>
              </w:rPr>
              <w:t xml:space="preserve"> </w:t>
            </w:r>
            <w:r>
              <w:rPr>
                <w:w w:val="105"/>
                <w:sz w:val="20"/>
                <w:szCs w:val="20"/>
                <w:u w:val="single" w:color="000000"/>
              </w:rPr>
              <w:tab/>
            </w:r>
            <w:r>
              <w:rPr>
                <w:sz w:val="20"/>
                <w:szCs w:val="20"/>
              </w:rPr>
              <w:t>人，毕业博</w:t>
            </w:r>
            <w:r>
              <w:rPr>
                <w:w w:val="105"/>
                <w:sz w:val="20"/>
                <w:szCs w:val="20"/>
              </w:rPr>
              <w:t>士后</w:t>
            </w:r>
            <w:r>
              <w:rPr>
                <w:w w:val="105"/>
                <w:sz w:val="20"/>
                <w:szCs w:val="20"/>
                <w:u w:val="single" w:color="000000"/>
              </w:rPr>
              <w:t xml:space="preserve"> </w:t>
            </w:r>
            <w:r>
              <w:rPr>
                <w:w w:val="105"/>
                <w:sz w:val="20"/>
                <w:szCs w:val="20"/>
                <w:u w:val="single" w:color="000000"/>
              </w:rPr>
              <w:tab/>
            </w:r>
            <w:r>
              <w:rPr>
                <w:w w:val="105"/>
                <w:sz w:val="20"/>
                <w:szCs w:val="20"/>
              </w:rPr>
              <w:t>人，毕业博士研究生</w:t>
            </w:r>
            <w:r>
              <w:rPr>
                <w:w w:val="105"/>
                <w:sz w:val="20"/>
                <w:szCs w:val="20"/>
                <w:u w:val="single" w:color="000000"/>
              </w:rPr>
              <w:t xml:space="preserve"> </w:t>
            </w:r>
            <w:r>
              <w:rPr>
                <w:w w:val="105"/>
                <w:sz w:val="20"/>
                <w:szCs w:val="20"/>
                <w:u w:val="single" w:color="000000"/>
              </w:rPr>
              <w:tab/>
            </w:r>
            <w:r>
              <w:rPr>
                <w:w w:val="105"/>
                <w:sz w:val="20"/>
                <w:szCs w:val="20"/>
              </w:rPr>
              <w:t>人，毕业硕士研究生</w:t>
            </w:r>
            <w:r>
              <w:rPr>
                <w:w w:val="105"/>
                <w:sz w:val="20"/>
                <w:szCs w:val="20"/>
                <w:u w:val="single" w:color="000000"/>
              </w:rPr>
              <w:t xml:space="preserve"> </w:t>
            </w:r>
            <w:r>
              <w:rPr>
                <w:w w:val="105"/>
                <w:sz w:val="20"/>
                <w:szCs w:val="20"/>
                <w:u w:val="single" w:color="000000"/>
              </w:rPr>
              <w:tab/>
            </w:r>
            <w:r>
              <w:rPr>
                <w:w w:val="105"/>
                <w:sz w:val="20"/>
                <w:szCs w:val="20"/>
              </w:rPr>
              <w:t>人，毕业学士</w:t>
            </w:r>
            <w:r>
              <w:rPr>
                <w:spacing w:val="55"/>
                <w:w w:val="105"/>
                <w:sz w:val="20"/>
                <w:szCs w:val="20"/>
                <w:u w:val="single" w:color="000000"/>
              </w:rPr>
              <w:t xml:space="preserve"> </w:t>
            </w:r>
            <w:r>
              <w:rPr>
                <w:w w:val="102"/>
                <w:sz w:val="20"/>
                <w:szCs w:val="20"/>
                <w:u w:val="single" w:color="000000"/>
              </w:rPr>
              <w:t xml:space="preserve"> </w:t>
            </w:r>
            <w:r>
              <w:rPr>
                <w:sz w:val="20"/>
                <w:szCs w:val="20"/>
                <w:u w:val="single" w:color="000000"/>
              </w:rPr>
              <w:t xml:space="preserve"> </w:t>
            </w:r>
            <w:r>
              <w:rPr>
                <w:w w:val="105"/>
                <w:sz w:val="20"/>
                <w:szCs w:val="20"/>
              </w:rPr>
              <w:t>人。</w:t>
            </w:r>
          </w:p>
        </w:tc>
      </w:tr>
      <w:tr w:rsidR="003F29C5" w14:paraId="00933706" w14:textId="77777777">
        <w:trPr>
          <w:trHeight w:val="703"/>
        </w:trPr>
        <w:tc>
          <w:tcPr>
            <w:tcW w:w="1792" w:type="dxa"/>
            <w:tcBorders>
              <w:top w:val="single" w:sz="6" w:space="0" w:color="000000"/>
              <w:left w:val="single" w:sz="6" w:space="0" w:color="000000"/>
              <w:bottom w:val="single" w:sz="6" w:space="0" w:color="000000"/>
              <w:right w:val="single" w:sz="6" w:space="0" w:color="000000"/>
              <w:tl2br w:val="nil"/>
              <w:tr2bl w:val="nil"/>
            </w:tcBorders>
          </w:tcPr>
          <w:p w14:paraId="2F486B38" w14:textId="77777777" w:rsidR="003F29C5" w:rsidRDefault="00000000">
            <w:pPr>
              <w:pStyle w:val="TableParagraph"/>
              <w:kinsoku w:val="0"/>
              <w:overflowPunct w:val="0"/>
              <w:spacing w:before="166"/>
              <w:ind w:left="140" w:right="126"/>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吸纳大学生就业</w:t>
            </w:r>
          </w:p>
        </w:tc>
        <w:tc>
          <w:tcPr>
            <w:tcW w:w="8171" w:type="dxa"/>
            <w:tcBorders>
              <w:top w:val="single" w:sz="6" w:space="0" w:color="000000"/>
              <w:left w:val="single" w:sz="6" w:space="0" w:color="000000"/>
              <w:bottom w:val="single" w:sz="6" w:space="0" w:color="000000"/>
              <w:right w:val="single" w:sz="6" w:space="0" w:color="000000"/>
              <w:tl2br w:val="nil"/>
              <w:tr2bl w:val="nil"/>
            </w:tcBorders>
          </w:tcPr>
          <w:p w14:paraId="084600A4" w14:textId="77777777" w:rsidR="003F29C5" w:rsidRDefault="00000000">
            <w:pPr>
              <w:pStyle w:val="TableParagraph"/>
              <w:tabs>
                <w:tab w:val="left" w:pos="964"/>
                <w:tab w:val="left" w:pos="1170"/>
                <w:tab w:val="left" w:pos="3119"/>
                <w:tab w:val="left" w:pos="5069"/>
                <w:tab w:val="left" w:pos="6608"/>
              </w:tabs>
              <w:kinsoku w:val="0"/>
              <w:overflowPunct w:val="0"/>
              <w:spacing w:before="35" w:line="300" w:lineRule="atLeast"/>
              <w:ind w:left="51" w:right="919"/>
              <w:rPr>
                <w:rFonts w:hint="default"/>
                <w:w w:val="105"/>
                <w:sz w:val="20"/>
                <w:szCs w:val="20"/>
              </w:rPr>
            </w:pPr>
            <w:r>
              <w:rPr>
                <w:w w:val="105"/>
                <w:sz w:val="20"/>
                <w:szCs w:val="20"/>
              </w:rPr>
              <w:t>博士后</w:t>
            </w:r>
            <w:r>
              <w:rPr>
                <w:w w:val="105"/>
                <w:sz w:val="20"/>
                <w:szCs w:val="20"/>
                <w:u w:val="single" w:color="000000"/>
              </w:rPr>
              <w:t xml:space="preserve"> </w:t>
            </w:r>
            <w:r>
              <w:rPr>
                <w:w w:val="105"/>
                <w:sz w:val="20"/>
                <w:szCs w:val="20"/>
                <w:u w:val="single" w:color="000000"/>
              </w:rPr>
              <w:tab/>
            </w:r>
            <w:r>
              <w:rPr>
                <w:w w:val="105"/>
                <w:sz w:val="20"/>
                <w:szCs w:val="20"/>
                <w:u w:val="single" w:color="000000"/>
              </w:rPr>
              <w:tab/>
            </w:r>
            <w:r>
              <w:rPr>
                <w:w w:val="105"/>
                <w:sz w:val="20"/>
                <w:szCs w:val="20"/>
              </w:rPr>
              <w:t>人，博士研究生</w:t>
            </w:r>
            <w:r>
              <w:rPr>
                <w:w w:val="105"/>
                <w:sz w:val="20"/>
                <w:szCs w:val="20"/>
                <w:u w:val="single" w:color="000000"/>
              </w:rPr>
              <w:t xml:space="preserve"> </w:t>
            </w:r>
            <w:r>
              <w:rPr>
                <w:w w:val="105"/>
                <w:sz w:val="20"/>
                <w:szCs w:val="20"/>
                <w:u w:val="single" w:color="000000"/>
              </w:rPr>
              <w:tab/>
            </w:r>
            <w:r>
              <w:rPr>
                <w:w w:val="105"/>
                <w:sz w:val="20"/>
                <w:szCs w:val="20"/>
              </w:rPr>
              <w:t>人，硕士研究生</w:t>
            </w:r>
            <w:r>
              <w:rPr>
                <w:w w:val="105"/>
                <w:sz w:val="20"/>
                <w:szCs w:val="20"/>
                <w:u w:val="single" w:color="000000"/>
              </w:rPr>
              <w:t xml:space="preserve"> </w:t>
            </w:r>
            <w:r>
              <w:rPr>
                <w:w w:val="105"/>
                <w:sz w:val="20"/>
                <w:szCs w:val="20"/>
                <w:u w:val="single" w:color="000000"/>
              </w:rPr>
              <w:tab/>
            </w:r>
            <w:r>
              <w:rPr>
                <w:w w:val="105"/>
                <w:sz w:val="20"/>
                <w:szCs w:val="20"/>
              </w:rPr>
              <w:t>人，本科生</w:t>
            </w:r>
            <w:r>
              <w:rPr>
                <w:w w:val="105"/>
                <w:sz w:val="20"/>
                <w:szCs w:val="20"/>
                <w:u w:val="single" w:color="000000"/>
              </w:rPr>
              <w:t xml:space="preserve"> </w:t>
            </w:r>
            <w:r>
              <w:rPr>
                <w:w w:val="105"/>
                <w:sz w:val="20"/>
                <w:szCs w:val="20"/>
                <w:u w:val="single" w:color="000000"/>
              </w:rPr>
              <w:tab/>
            </w:r>
            <w:r>
              <w:rPr>
                <w:sz w:val="20"/>
                <w:szCs w:val="20"/>
              </w:rPr>
              <w:t>人，专</w:t>
            </w:r>
            <w:r>
              <w:rPr>
                <w:w w:val="105"/>
                <w:sz w:val="20"/>
                <w:szCs w:val="20"/>
              </w:rPr>
              <w:t>科生</w:t>
            </w:r>
            <w:r>
              <w:rPr>
                <w:w w:val="105"/>
                <w:sz w:val="20"/>
                <w:szCs w:val="20"/>
                <w:u w:val="single" w:color="000000"/>
              </w:rPr>
              <w:t xml:space="preserve"> </w:t>
            </w:r>
            <w:r>
              <w:rPr>
                <w:w w:val="105"/>
                <w:sz w:val="20"/>
                <w:szCs w:val="20"/>
                <w:u w:val="single" w:color="000000"/>
              </w:rPr>
              <w:tab/>
            </w:r>
            <w:r>
              <w:rPr>
                <w:w w:val="105"/>
                <w:sz w:val="20"/>
                <w:szCs w:val="20"/>
              </w:rPr>
              <w:t>人。</w:t>
            </w:r>
          </w:p>
        </w:tc>
      </w:tr>
    </w:tbl>
    <w:p w14:paraId="2AB2916F" w14:textId="77777777" w:rsidR="003F29C5" w:rsidRDefault="00000000">
      <w:pPr>
        <w:pStyle w:val="1"/>
        <w:kinsoku w:val="0"/>
        <w:overflowPunct w:val="0"/>
        <w:spacing w:line="560" w:lineRule="exact"/>
        <w:ind w:left="0" w:right="858"/>
        <w:rPr>
          <w:rFonts w:ascii="黑体" w:eastAsia="黑体" w:hAnsi="黑体"/>
          <w:b w:val="0"/>
          <w:sz w:val="32"/>
          <w:szCs w:val="32"/>
        </w:rPr>
      </w:pPr>
      <w:r>
        <w:rPr>
          <w:rFonts w:ascii="黑体" w:eastAsia="黑体" w:hAnsi="黑体"/>
          <w:b w:val="0"/>
          <w:sz w:val="32"/>
          <w:szCs w:val="32"/>
        </w:rPr>
        <w:t>（三）其他</w:t>
      </w:r>
    </w:p>
    <w:tbl>
      <w:tblPr>
        <w:tblW w:w="9963" w:type="dxa"/>
        <w:tblLayout w:type="fixed"/>
        <w:tblCellMar>
          <w:left w:w="0" w:type="dxa"/>
          <w:right w:w="0" w:type="dxa"/>
        </w:tblCellMar>
        <w:tblLook w:val="04A0" w:firstRow="1" w:lastRow="0" w:firstColumn="1" w:lastColumn="0" w:noHBand="0" w:noVBand="1"/>
      </w:tblPr>
      <w:tblGrid>
        <w:gridCol w:w="1792"/>
        <w:gridCol w:w="8171"/>
      </w:tblGrid>
      <w:tr w:rsidR="003F29C5" w14:paraId="0A2D2651" w14:textId="77777777">
        <w:trPr>
          <w:trHeight w:val="512"/>
        </w:trPr>
        <w:tc>
          <w:tcPr>
            <w:tcW w:w="1792" w:type="dxa"/>
            <w:tcBorders>
              <w:top w:val="single" w:sz="6" w:space="0" w:color="000000"/>
              <w:left w:val="single" w:sz="6" w:space="0" w:color="000000"/>
              <w:bottom w:val="single" w:sz="6" w:space="0" w:color="000000"/>
              <w:right w:val="single" w:sz="6" w:space="0" w:color="000000"/>
              <w:tl2br w:val="nil"/>
              <w:tr2bl w:val="nil"/>
            </w:tcBorders>
          </w:tcPr>
          <w:p w14:paraId="1F822845" w14:textId="77777777" w:rsidR="003F29C5" w:rsidRDefault="003F29C5">
            <w:pPr>
              <w:pStyle w:val="TableParagraph"/>
              <w:kinsoku w:val="0"/>
              <w:overflowPunct w:val="0"/>
              <w:spacing w:before="71"/>
              <w:ind w:left="140" w:right="126"/>
              <w:jc w:val="center"/>
              <w:rPr>
                <w:rFonts w:ascii="Microsoft JhengHei" w:eastAsia="Microsoft JhengHei" w:cs="Microsoft JhengHei" w:hint="default"/>
                <w:b/>
                <w:w w:val="105"/>
                <w:sz w:val="20"/>
                <w:szCs w:val="20"/>
              </w:rPr>
            </w:pPr>
          </w:p>
        </w:tc>
        <w:tc>
          <w:tcPr>
            <w:tcW w:w="8171" w:type="dxa"/>
            <w:tcBorders>
              <w:top w:val="single" w:sz="6" w:space="0" w:color="000000"/>
              <w:left w:val="single" w:sz="6" w:space="0" w:color="000000"/>
              <w:bottom w:val="single" w:sz="6" w:space="0" w:color="000000"/>
              <w:right w:val="single" w:sz="6" w:space="0" w:color="000000"/>
              <w:tl2br w:val="nil"/>
              <w:tr2bl w:val="nil"/>
            </w:tcBorders>
          </w:tcPr>
          <w:p w14:paraId="5F4F8EFB" w14:textId="77777777" w:rsidR="003F29C5" w:rsidRDefault="003F29C5">
            <w:pPr>
              <w:pStyle w:val="TableParagraph"/>
              <w:tabs>
                <w:tab w:val="left" w:pos="2095"/>
              </w:tabs>
              <w:kinsoku w:val="0"/>
              <w:overflowPunct w:val="0"/>
              <w:spacing w:before="137"/>
              <w:ind w:left="51"/>
              <w:rPr>
                <w:rFonts w:hint="default"/>
                <w:w w:val="105"/>
                <w:sz w:val="20"/>
                <w:szCs w:val="20"/>
              </w:rPr>
            </w:pPr>
          </w:p>
        </w:tc>
      </w:tr>
    </w:tbl>
    <w:p w14:paraId="0123953F" w14:textId="77777777" w:rsidR="003F29C5" w:rsidRDefault="00000000">
      <w:pPr>
        <w:pStyle w:val="1"/>
        <w:kinsoku w:val="0"/>
        <w:overflowPunct w:val="0"/>
        <w:spacing w:line="560" w:lineRule="exact"/>
        <w:ind w:left="0" w:right="858"/>
        <w:rPr>
          <w:rFonts w:ascii="黑体" w:eastAsia="黑体" w:hAnsi="黑体"/>
          <w:b w:val="0"/>
          <w:sz w:val="32"/>
          <w:szCs w:val="32"/>
        </w:rPr>
      </w:pPr>
      <w:r>
        <w:rPr>
          <w:rFonts w:ascii="黑体" w:eastAsia="黑体" w:hAnsi="黑体"/>
          <w:b w:val="0"/>
          <w:sz w:val="32"/>
          <w:szCs w:val="32"/>
        </w:rPr>
        <w:t>（四）知识产权说明和备注</w:t>
      </w:r>
    </w:p>
    <w:tbl>
      <w:tblPr>
        <w:tblW w:w="9963" w:type="dxa"/>
        <w:tblLayout w:type="fixed"/>
        <w:tblCellMar>
          <w:left w:w="0" w:type="dxa"/>
          <w:right w:w="0" w:type="dxa"/>
        </w:tblCellMar>
        <w:tblLook w:val="04A0" w:firstRow="1" w:lastRow="0" w:firstColumn="1" w:lastColumn="0" w:noHBand="0" w:noVBand="1"/>
      </w:tblPr>
      <w:tblGrid>
        <w:gridCol w:w="9963"/>
      </w:tblGrid>
      <w:tr w:rsidR="003F29C5" w14:paraId="7AF7E18B" w14:textId="77777777">
        <w:trPr>
          <w:trHeight w:val="512"/>
        </w:trPr>
        <w:tc>
          <w:tcPr>
            <w:tcW w:w="9963" w:type="dxa"/>
            <w:tcBorders>
              <w:top w:val="single" w:sz="6" w:space="0" w:color="000000"/>
              <w:left w:val="single" w:sz="6" w:space="0" w:color="000000"/>
              <w:bottom w:val="single" w:sz="6" w:space="0" w:color="000000"/>
              <w:right w:val="single" w:sz="6" w:space="0" w:color="000000"/>
              <w:tl2br w:val="nil"/>
              <w:tr2bl w:val="nil"/>
            </w:tcBorders>
          </w:tcPr>
          <w:p w14:paraId="4D213E9E" w14:textId="77777777" w:rsidR="003F29C5" w:rsidRDefault="00000000">
            <w:pPr>
              <w:pStyle w:val="TableParagraph"/>
              <w:tabs>
                <w:tab w:val="left" w:pos="2095"/>
              </w:tabs>
              <w:kinsoku w:val="0"/>
              <w:overflowPunct w:val="0"/>
              <w:spacing w:before="137"/>
              <w:ind w:left="51"/>
              <w:rPr>
                <w:rFonts w:hint="default"/>
                <w:b/>
                <w:w w:val="105"/>
              </w:rPr>
            </w:pPr>
            <w:r>
              <w:rPr>
                <w:b/>
                <w:w w:val="105"/>
              </w:rPr>
              <w:t>1 知识产权说明</w:t>
            </w:r>
          </w:p>
          <w:p w14:paraId="0F6C1E1A" w14:textId="77777777" w:rsidR="003F29C5" w:rsidRDefault="003F29C5">
            <w:pPr>
              <w:pStyle w:val="TableParagraph"/>
              <w:tabs>
                <w:tab w:val="left" w:pos="2095"/>
              </w:tabs>
              <w:kinsoku w:val="0"/>
              <w:overflowPunct w:val="0"/>
              <w:spacing w:before="137"/>
              <w:ind w:left="51"/>
              <w:rPr>
                <w:rFonts w:hint="default"/>
                <w:w w:val="105"/>
              </w:rPr>
            </w:pPr>
          </w:p>
          <w:p w14:paraId="41CB7D33" w14:textId="77777777" w:rsidR="003F29C5" w:rsidRDefault="00000000">
            <w:pPr>
              <w:pStyle w:val="TableParagraph"/>
              <w:tabs>
                <w:tab w:val="left" w:pos="2095"/>
              </w:tabs>
              <w:kinsoku w:val="0"/>
              <w:overflowPunct w:val="0"/>
              <w:spacing w:before="137"/>
              <w:ind w:left="51"/>
              <w:rPr>
                <w:rFonts w:hint="default"/>
                <w:b/>
                <w:w w:val="105"/>
              </w:rPr>
            </w:pPr>
            <w:r>
              <w:rPr>
                <w:b/>
                <w:w w:val="105"/>
              </w:rPr>
              <w:t>2 指南成果要求</w:t>
            </w:r>
          </w:p>
          <w:p w14:paraId="368ED862" w14:textId="77777777" w:rsidR="003F29C5" w:rsidRDefault="003F29C5">
            <w:pPr>
              <w:pStyle w:val="TableParagraph"/>
              <w:tabs>
                <w:tab w:val="left" w:pos="2095"/>
              </w:tabs>
              <w:kinsoku w:val="0"/>
              <w:overflowPunct w:val="0"/>
              <w:spacing w:before="137"/>
              <w:ind w:left="51"/>
              <w:rPr>
                <w:rFonts w:hint="default"/>
                <w:w w:val="105"/>
              </w:rPr>
            </w:pPr>
          </w:p>
          <w:p w14:paraId="210FECB0" w14:textId="77777777" w:rsidR="003F29C5" w:rsidRDefault="003F29C5">
            <w:pPr>
              <w:pStyle w:val="TableParagraph"/>
              <w:tabs>
                <w:tab w:val="left" w:pos="2095"/>
              </w:tabs>
              <w:kinsoku w:val="0"/>
              <w:overflowPunct w:val="0"/>
              <w:spacing w:before="137"/>
              <w:ind w:left="51"/>
              <w:rPr>
                <w:rFonts w:hint="default"/>
                <w:w w:val="105"/>
                <w:sz w:val="20"/>
                <w:szCs w:val="20"/>
              </w:rPr>
            </w:pPr>
          </w:p>
        </w:tc>
      </w:tr>
    </w:tbl>
    <w:p w14:paraId="129487E3" w14:textId="77777777" w:rsidR="003F29C5" w:rsidRDefault="003F29C5">
      <w:pPr>
        <w:pStyle w:val="a3"/>
        <w:kinsoku w:val="0"/>
        <w:overflowPunct w:val="0"/>
        <w:spacing w:before="213" w:line="158" w:lineRule="auto"/>
        <w:ind w:left="103" w:right="1039"/>
        <w:rPr>
          <w:rFonts w:ascii="Microsoft JhengHei" w:eastAsia="Microsoft JhengHei" w:cs="Microsoft JhengHei" w:hint="default"/>
          <w:b/>
          <w:sz w:val="30"/>
          <w:szCs w:val="30"/>
        </w:rPr>
        <w:sectPr w:rsidR="003F29C5">
          <w:pgSz w:w="11910" w:h="16840"/>
          <w:pgMar w:top="1440" w:right="1080" w:bottom="1440" w:left="1080" w:header="873" w:footer="874" w:gutter="0"/>
          <w:cols w:space="720"/>
          <w:docGrid w:linePitch="299"/>
        </w:sectPr>
      </w:pPr>
      <w:bookmarkStart w:id="18" w:name="计划进度和阶段目标"/>
      <w:bookmarkEnd w:id="18"/>
    </w:p>
    <w:p w14:paraId="672DC2A4" w14:textId="77777777" w:rsidR="003F29C5" w:rsidRDefault="00000000">
      <w:pPr>
        <w:pStyle w:val="1"/>
        <w:kinsoku w:val="0"/>
        <w:overflowPunct w:val="0"/>
        <w:spacing w:line="560" w:lineRule="exact"/>
        <w:ind w:left="0" w:right="-31"/>
        <w:rPr>
          <w:rFonts w:ascii="仿宋_GB2312" w:eastAsia="仿宋_GB2312" w:hAnsi="黑体"/>
          <w:b w:val="0"/>
          <w:sz w:val="32"/>
          <w:szCs w:val="32"/>
        </w:rPr>
      </w:pPr>
      <w:r>
        <w:rPr>
          <w:rFonts w:ascii="黑体" w:eastAsia="黑体" w:hAnsi="黑体"/>
          <w:b w:val="0"/>
          <w:sz w:val="32"/>
          <w:szCs w:val="32"/>
        </w:rPr>
        <w:lastRenderedPageBreak/>
        <w:t>三、计划进度和阶段目标</w:t>
      </w:r>
      <w:r>
        <w:rPr>
          <w:rFonts w:ascii="仿宋_GB2312" w:eastAsia="楷体" w:hAnsi="黑体"/>
          <w:b w:val="0"/>
          <w:sz w:val="32"/>
          <w:szCs w:val="32"/>
        </w:rPr>
        <w:t>（以年为单位，叙述项目的进度安排和阶段目标，限</w:t>
      </w:r>
      <w:r>
        <w:rPr>
          <w:rFonts w:ascii="仿宋_GB2312" w:eastAsia="仿宋_GB2312" w:hAnsi="黑体"/>
          <w:b w:val="0"/>
          <w:sz w:val="32"/>
          <w:szCs w:val="32"/>
        </w:rPr>
        <w:t>500</w:t>
      </w:r>
      <w:r>
        <w:rPr>
          <w:rFonts w:ascii="仿宋_GB2312" w:eastAsia="楷体" w:hAnsi="黑体"/>
          <w:b w:val="0"/>
          <w:sz w:val="32"/>
          <w:szCs w:val="32"/>
        </w:rPr>
        <w:t>字）</w:t>
      </w:r>
    </w:p>
    <w:tbl>
      <w:tblPr>
        <w:tblW w:w="9965" w:type="dxa"/>
        <w:jc w:val="center"/>
        <w:tblLayout w:type="fixed"/>
        <w:tblCellMar>
          <w:left w:w="0" w:type="dxa"/>
          <w:right w:w="0" w:type="dxa"/>
        </w:tblCellMar>
        <w:tblLook w:val="04A0" w:firstRow="1" w:lastRow="0" w:firstColumn="1" w:lastColumn="0" w:noHBand="0" w:noVBand="1"/>
      </w:tblPr>
      <w:tblGrid>
        <w:gridCol w:w="1495"/>
        <w:gridCol w:w="1495"/>
        <w:gridCol w:w="6975"/>
      </w:tblGrid>
      <w:tr w:rsidR="003F29C5" w14:paraId="1A3C0EFA" w14:textId="77777777">
        <w:trPr>
          <w:trHeight w:val="571"/>
          <w:jc w:val="center"/>
        </w:trPr>
        <w:tc>
          <w:tcPr>
            <w:tcW w:w="1495" w:type="dxa"/>
            <w:tcBorders>
              <w:top w:val="single" w:sz="6" w:space="0" w:color="000000"/>
              <w:left w:val="single" w:sz="6" w:space="0" w:color="000000"/>
              <w:bottom w:val="single" w:sz="6" w:space="0" w:color="000000"/>
              <w:right w:val="single" w:sz="6" w:space="0" w:color="000000"/>
              <w:tl2br w:val="nil"/>
              <w:tr2bl w:val="nil"/>
            </w:tcBorders>
          </w:tcPr>
          <w:p w14:paraId="6190E9BD" w14:textId="77777777" w:rsidR="003F29C5" w:rsidRDefault="00000000">
            <w:pPr>
              <w:pStyle w:val="TableParagraph"/>
              <w:kinsoku w:val="0"/>
              <w:overflowPunct w:val="0"/>
              <w:spacing w:before="100"/>
              <w:ind w:left="201" w:right="187"/>
              <w:jc w:val="center"/>
              <w:rPr>
                <w:rFonts w:ascii="Microsoft JhengHei" w:eastAsia="Microsoft JhengHei" w:cs="Microsoft JhengHei" w:hint="default"/>
                <w:b/>
                <w:w w:val="105"/>
                <w:sz w:val="20"/>
                <w:szCs w:val="20"/>
              </w:rPr>
            </w:pPr>
            <w:commentRangeStart w:id="19"/>
            <w:r>
              <w:rPr>
                <w:rFonts w:ascii="Microsoft JhengHei" w:eastAsia="Microsoft JhengHei" w:cs="Microsoft JhengHei"/>
                <w:b/>
                <w:w w:val="105"/>
                <w:sz w:val="20"/>
                <w:szCs w:val="20"/>
              </w:rPr>
              <w:t>开始时间</w:t>
            </w:r>
            <w:commentRangeEnd w:id="19"/>
            <w:r w:rsidR="004D3533">
              <w:rPr>
                <w:rStyle w:val="ad"/>
                <w:rFonts w:ascii="Microsoft JhengHei" w:eastAsia="Microsoft JhengHei" w:cs="Microsoft JhengHei" w:hint="default"/>
                <w:b/>
                <w:w w:val="105"/>
                <w:sz w:val="20"/>
                <w:szCs w:val="20"/>
              </w:rPr>
              <w:commentReference w:id="19"/>
            </w:r>
          </w:p>
        </w:tc>
        <w:tc>
          <w:tcPr>
            <w:tcW w:w="1495" w:type="dxa"/>
            <w:tcBorders>
              <w:top w:val="single" w:sz="6" w:space="0" w:color="000000"/>
              <w:left w:val="single" w:sz="6" w:space="0" w:color="000000"/>
              <w:bottom w:val="single" w:sz="6" w:space="0" w:color="000000"/>
              <w:right w:val="single" w:sz="6" w:space="0" w:color="000000"/>
              <w:tl2br w:val="nil"/>
              <w:tr2bl w:val="nil"/>
            </w:tcBorders>
          </w:tcPr>
          <w:p w14:paraId="0F63E18A" w14:textId="77777777" w:rsidR="003F29C5" w:rsidRDefault="00000000">
            <w:pPr>
              <w:pStyle w:val="TableParagraph"/>
              <w:kinsoku w:val="0"/>
              <w:overflowPunct w:val="0"/>
              <w:spacing w:before="100"/>
              <w:ind w:left="201" w:right="188"/>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结束时间</w:t>
            </w:r>
          </w:p>
        </w:tc>
        <w:tc>
          <w:tcPr>
            <w:tcW w:w="6975" w:type="dxa"/>
            <w:tcBorders>
              <w:top w:val="single" w:sz="6" w:space="0" w:color="000000"/>
              <w:left w:val="single" w:sz="6" w:space="0" w:color="000000"/>
              <w:bottom w:val="single" w:sz="6" w:space="0" w:color="000000"/>
              <w:right w:val="single" w:sz="6" w:space="0" w:color="000000"/>
              <w:tl2br w:val="nil"/>
              <w:tr2bl w:val="nil"/>
            </w:tcBorders>
          </w:tcPr>
          <w:p w14:paraId="05D01180" w14:textId="77777777" w:rsidR="003F29C5" w:rsidRDefault="00000000">
            <w:pPr>
              <w:pStyle w:val="TableParagraph"/>
              <w:kinsoku w:val="0"/>
              <w:overflowPunct w:val="0"/>
              <w:spacing w:before="100"/>
              <w:ind w:left="3046" w:right="3034"/>
              <w:jc w:val="center"/>
              <w:rPr>
                <w:rFonts w:ascii="Microsoft JhengHei" w:eastAsia="Microsoft JhengHei" w:cs="Microsoft JhengHei" w:hint="default"/>
                <w:b/>
                <w:w w:val="105"/>
                <w:sz w:val="20"/>
                <w:szCs w:val="20"/>
              </w:rPr>
            </w:pPr>
            <w:r>
              <w:rPr>
                <w:rFonts w:ascii="Microsoft JhengHei" w:eastAsia="Microsoft JhengHei" w:cs="Microsoft JhengHei"/>
                <w:b/>
                <w:w w:val="105"/>
                <w:sz w:val="20"/>
                <w:szCs w:val="20"/>
              </w:rPr>
              <w:t>阶段目标</w:t>
            </w:r>
          </w:p>
        </w:tc>
      </w:tr>
      <w:tr w:rsidR="003F29C5" w14:paraId="01A31ECE" w14:textId="77777777">
        <w:trPr>
          <w:trHeight w:val="571"/>
          <w:jc w:val="center"/>
        </w:trPr>
        <w:tc>
          <w:tcPr>
            <w:tcW w:w="1495" w:type="dxa"/>
            <w:tcBorders>
              <w:top w:val="single" w:sz="6" w:space="0" w:color="000000"/>
              <w:left w:val="single" w:sz="6" w:space="0" w:color="000000"/>
              <w:bottom w:val="single" w:sz="6" w:space="0" w:color="000000"/>
              <w:right w:val="single" w:sz="6" w:space="0" w:color="000000"/>
              <w:tl2br w:val="nil"/>
              <w:tr2bl w:val="nil"/>
            </w:tcBorders>
          </w:tcPr>
          <w:p w14:paraId="0D175E7F" w14:textId="56F12ECC" w:rsidR="003F29C5" w:rsidRDefault="003F29C5">
            <w:pPr>
              <w:pStyle w:val="TableParagraph"/>
              <w:kinsoku w:val="0"/>
              <w:overflowPunct w:val="0"/>
              <w:spacing w:before="166"/>
              <w:ind w:left="201" w:right="187"/>
              <w:jc w:val="center"/>
              <w:rPr>
                <w:rFonts w:hint="default"/>
                <w:w w:val="105"/>
                <w:sz w:val="20"/>
                <w:szCs w:val="20"/>
              </w:rPr>
            </w:pPr>
          </w:p>
        </w:tc>
        <w:tc>
          <w:tcPr>
            <w:tcW w:w="1495" w:type="dxa"/>
            <w:tcBorders>
              <w:top w:val="single" w:sz="6" w:space="0" w:color="000000"/>
              <w:left w:val="single" w:sz="6" w:space="0" w:color="000000"/>
              <w:bottom w:val="single" w:sz="6" w:space="0" w:color="000000"/>
              <w:right w:val="single" w:sz="6" w:space="0" w:color="000000"/>
              <w:tl2br w:val="nil"/>
              <w:tr2bl w:val="nil"/>
            </w:tcBorders>
          </w:tcPr>
          <w:p w14:paraId="5490E129" w14:textId="77777777" w:rsidR="003F29C5" w:rsidRDefault="003F29C5">
            <w:pPr>
              <w:pStyle w:val="TableParagraph"/>
              <w:kinsoku w:val="0"/>
              <w:overflowPunct w:val="0"/>
              <w:spacing w:before="166"/>
              <w:ind w:left="201" w:right="188"/>
              <w:jc w:val="center"/>
              <w:rPr>
                <w:rFonts w:hint="default"/>
                <w:w w:val="105"/>
                <w:sz w:val="20"/>
                <w:szCs w:val="20"/>
              </w:rPr>
            </w:pPr>
          </w:p>
        </w:tc>
        <w:tc>
          <w:tcPr>
            <w:tcW w:w="6975" w:type="dxa"/>
            <w:tcBorders>
              <w:top w:val="single" w:sz="6" w:space="0" w:color="000000"/>
              <w:left w:val="single" w:sz="6" w:space="0" w:color="000000"/>
              <w:bottom w:val="single" w:sz="6" w:space="0" w:color="000000"/>
              <w:right w:val="single" w:sz="6" w:space="0" w:color="000000"/>
              <w:tl2br w:val="nil"/>
              <w:tr2bl w:val="nil"/>
            </w:tcBorders>
          </w:tcPr>
          <w:p w14:paraId="551AD67B" w14:textId="79B3DBDE" w:rsidR="003F29C5" w:rsidRPr="004D3533" w:rsidRDefault="004D3533">
            <w:pPr>
              <w:pStyle w:val="TableParagraph"/>
              <w:kinsoku w:val="0"/>
              <w:overflowPunct w:val="0"/>
              <w:spacing w:before="78"/>
              <w:ind w:left="50"/>
              <w:rPr>
                <w:rFonts w:asciiTheme="minorEastAsia" w:eastAsiaTheme="minorEastAsia" w:hAnsiTheme="minorEastAsia"/>
                <w:w w:val="105"/>
                <w:sz w:val="20"/>
                <w:szCs w:val="20"/>
              </w:rPr>
            </w:pPr>
            <w:r w:rsidRPr="004D3533">
              <w:rPr>
                <w:rFonts w:asciiTheme="minorEastAsia" w:eastAsiaTheme="minorEastAsia" w:hAnsiTheme="minorEastAsia"/>
                <w:b/>
                <w:bCs/>
                <w:w w:val="105"/>
                <w:sz w:val="20"/>
                <w:szCs w:val="20"/>
              </w:rPr>
              <w:t>第一阶段：队列构建与宏观演变规律刻画。</w:t>
            </w:r>
            <w:r w:rsidRPr="004D3533">
              <w:rPr>
                <w:rFonts w:asciiTheme="minorEastAsia" w:eastAsiaTheme="minorEastAsia" w:hAnsiTheme="minorEastAsia"/>
                <w:w w:val="105"/>
                <w:sz w:val="20"/>
                <w:szCs w:val="20"/>
              </w:rPr>
              <w:t> 完成肺癌多模式治疗患者的回顾性影像与临床数据收集，部署 SynthSeg 算法完成全脑自动化分割，完成跨序列批次效应校正，明确不同治疗路径下的脑形态学时空演变轨迹，识别易损脑区，发表相关阶段性成果。</w:t>
            </w:r>
          </w:p>
        </w:tc>
      </w:tr>
      <w:tr w:rsidR="003F29C5" w14:paraId="1714EBDE" w14:textId="77777777">
        <w:trPr>
          <w:trHeight w:val="571"/>
          <w:jc w:val="center"/>
        </w:trPr>
        <w:tc>
          <w:tcPr>
            <w:tcW w:w="1495" w:type="dxa"/>
            <w:tcBorders>
              <w:top w:val="single" w:sz="6" w:space="0" w:color="000000"/>
              <w:left w:val="single" w:sz="6" w:space="0" w:color="000000"/>
              <w:bottom w:val="single" w:sz="6" w:space="0" w:color="000000"/>
              <w:right w:val="single" w:sz="6" w:space="0" w:color="000000"/>
              <w:tl2br w:val="nil"/>
              <w:tr2bl w:val="nil"/>
            </w:tcBorders>
          </w:tcPr>
          <w:p w14:paraId="69E16A73" w14:textId="77777777" w:rsidR="003F29C5" w:rsidRDefault="003F29C5">
            <w:pPr>
              <w:pStyle w:val="TableParagraph"/>
              <w:kinsoku w:val="0"/>
              <w:overflowPunct w:val="0"/>
              <w:spacing w:before="166"/>
              <w:ind w:left="201" w:right="187"/>
              <w:jc w:val="center"/>
              <w:rPr>
                <w:rFonts w:hint="default"/>
                <w:w w:val="105"/>
                <w:sz w:val="20"/>
                <w:szCs w:val="20"/>
              </w:rPr>
            </w:pPr>
          </w:p>
        </w:tc>
        <w:tc>
          <w:tcPr>
            <w:tcW w:w="1495" w:type="dxa"/>
            <w:tcBorders>
              <w:top w:val="single" w:sz="6" w:space="0" w:color="000000"/>
              <w:left w:val="single" w:sz="6" w:space="0" w:color="000000"/>
              <w:bottom w:val="single" w:sz="6" w:space="0" w:color="000000"/>
              <w:right w:val="single" w:sz="6" w:space="0" w:color="000000"/>
              <w:tl2br w:val="nil"/>
              <w:tr2bl w:val="nil"/>
            </w:tcBorders>
          </w:tcPr>
          <w:p w14:paraId="07BD9EAA" w14:textId="77777777" w:rsidR="003F29C5" w:rsidRDefault="003F29C5">
            <w:pPr>
              <w:pStyle w:val="TableParagraph"/>
              <w:kinsoku w:val="0"/>
              <w:overflowPunct w:val="0"/>
              <w:spacing w:before="166"/>
              <w:ind w:left="201" w:right="188"/>
              <w:jc w:val="center"/>
              <w:rPr>
                <w:rFonts w:hint="default"/>
                <w:w w:val="105"/>
                <w:sz w:val="20"/>
                <w:szCs w:val="20"/>
              </w:rPr>
            </w:pPr>
          </w:p>
        </w:tc>
        <w:tc>
          <w:tcPr>
            <w:tcW w:w="6975" w:type="dxa"/>
            <w:tcBorders>
              <w:top w:val="single" w:sz="6" w:space="0" w:color="000000"/>
              <w:left w:val="single" w:sz="6" w:space="0" w:color="000000"/>
              <w:bottom w:val="single" w:sz="6" w:space="0" w:color="000000"/>
              <w:right w:val="single" w:sz="6" w:space="0" w:color="000000"/>
              <w:tl2br w:val="nil"/>
              <w:tr2bl w:val="nil"/>
            </w:tcBorders>
          </w:tcPr>
          <w:p w14:paraId="107C9962" w14:textId="407EF711" w:rsidR="003F29C5" w:rsidRDefault="004D3533">
            <w:pPr>
              <w:pStyle w:val="TableParagraph"/>
              <w:kinsoku w:val="0"/>
              <w:overflowPunct w:val="0"/>
              <w:spacing w:before="78"/>
              <w:ind w:left="50"/>
              <w:rPr>
                <w:rFonts w:hint="default"/>
                <w:w w:val="105"/>
                <w:sz w:val="20"/>
                <w:szCs w:val="20"/>
              </w:rPr>
            </w:pPr>
            <w:r w:rsidRPr="004D3533">
              <w:rPr>
                <w:b/>
                <w:bCs/>
                <w:w w:val="105"/>
                <w:sz w:val="20"/>
                <w:szCs w:val="20"/>
              </w:rPr>
              <w:t>第二阶段：前瞻性多模态机制解析。</w:t>
            </w:r>
            <w:r w:rsidRPr="004D3533">
              <w:rPr>
                <w:w w:val="105"/>
                <w:sz w:val="20"/>
                <w:szCs w:val="20"/>
              </w:rPr>
              <w:t> </w:t>
            </w:r>
            <w:r w:rsidRPr="004D3533">
              <w:rPr>
                <w:w w:val="105"/>
                <w:sz w:val="20"/>
                <w:szCs w:val="20"/>
              </w:rPr>
              <w:t>完成前瞻性队列招募与多维度认知评估，采集高分辨多模态脑影像数据。完成影像学特征与认知表型的关联分析，揭示“脑微观损伤-网络失代偿-认知衰退”的内在机制，确立 CRCI 的影像学标志物。</w:t>
            </w:r>
          </w:p>
        </w:tc>
      </w:tr>
      <w:tr w:rsidR="003F29C5" w14:paraId="1C59C1E2" w14:textId="77777777">
        <w:trPr>
          <w:trHeight w:val="571"/>
          <w:jc w:val="center"/>
        </w:trPr>
        <w:tc>
          <w:tcPr>
            <w:tcW w:w="1495" w:type="dxa"/>
            <w:tcBorders>
              <w:top w:val="single" w:sz="6" w:space="0" w:color="000000"/>
              <w:left w:val="single" w:sz="6" w:space="0" w:color="000000"/>
              <w:bottom w:val="single" w:sz="6" w:space="0" w:color="000000"/>
              <w:right w:val="single" w:sz="6" w:space="0" w:color="000000"/>
              <w:tl2br w:val="nil"/>
              <w:tr2bl w:val="nil"/>
            </w:tcBorders>
          </w:tcPr>
          <w:p w14:paraId="18A95E05" w14:textId="77777777" w:rsidR="003F29C5" w:rsidRDefault="003F29C5">
            <w:pPr>
              <w:pStyle w:val="TableParagraph"/>
              <w:kinsoku w:val="0"/>
              <w:overflowPunct w:val="0"/>
              <w:spacing w:before="166"/>
              <w:ind w:left="201" w:right="187"/>
              <w:jc w:val="center"/>
              <w:rPr>
                <w:rFonts w:hint="default"/>
                <w:w w:val="105"/>
                <w:sz w:val="20"/>
                <w:szCs w:val="20"/>
              </w:rPr>
            </w:pPr>
          </w:p>
        </w:tc>
        <w:tc>
          <w:tcPr>
            <w:tcW w:w="1495" w:type="dxa"/>
            <w:tcBorders>
              <w:top w:val="single" w:sz="6" w:space="0" w:color="000000"/>
              <w:left w:val="single" w:sz="6" w:space="0" w:color="000000"/>
              <w:bottom w:val="single" w:sz="6" w:space="0" w:color="000000"/>
              <w:right w:val="single" w:sz="6" w:space="0" w:color="000000"/>
              <w:tl2br w:val="nil"/>
              <w:tr2bl w:val="nil"/>
            </w:tcBorders>
          </w:tcPr>
          <w:p w14:paraId="3488AC66" w14:textId="77777777" w:rsidR="003F29C5" w:rsidRDefault="003F29C5">
            <w:pPr>
              <w:pStyle w:val="TableParagraph"/>
              <w:kinsoku w:val="0"/>
              <w:overflowPunct w:val="0"/>
              <w:spacing w:before="166"/>
              <w:ind w:left="201" w:right="188"/>
              <w:jc w:val="center"/>
              <w:rPr>
                <w:rFonts w:hint="default"/>
                <w:w w:val="105"/>
                <w:sz w:val="20"/>
                <w:szCs w:val="20"/>
              </w:rPr>
            </w:pPr>
          </w:p>
        </w:tc>
        <w:tc>
          <w:tcPr>
            <w:tcW w:w="6975" w:type="dxa"/>
            <w:tcBorders>
              <w:top w:val="single" w:sz="6" w:space="0" w:color="000000"/>
              <w:left w:val="single" w:sz="6" w:space="0" w:color="000000"/>
              <w:bottom w:val="single" w:sz="6" w:space="0" w:color="000000"/>
              <w:right w:val="single" w:sz="6" w:space="0" w:color="000000"/>
              <w:tl2br w:val="nil"/>
              <w:tr2bl w:val="nil"/>
            </w:tcBorders>
          </w:tcPr>
          <w:p w14:paraId="7A4AA2F0" w14:textId="73F3E80E" w:rsidR="003F29C5" w:rsidRDefault="004D3533">
            <w:pPr>
              <w:pStyle w:val="TableParagraph"/>
              <w:kinsoku w:val="0"/>
              <w:overflowPunct w:val="0"/>
              <w:spacing w:before="78"/>
              <w:ind w:left="50"/>
              <w:rPr>
                <w:rFonts w:hint="default"/>
                <w:w w:val="105"/>
                <w:sz w:val="20"/>
                <w:szCs w:val="20"/>
              </w:rPr>
            </w:pPr>
            <w:r w:rsidRPr="004D3533">
              <w:rPr>
                <w:b/>
                <w:bCs/>
                <w:w w:val="105"/>
                <w:sz w:val="20"/>
                <w:szCs w:val="20"/>
              </w:rPr>
              <w:t>第三阶段：模型构建、验证与转化。</w:t>
            </w:r>
            <w:r w:rsidRPr="004D3533">
              <w:rPr>
                <w:w w:val="105"/>
                <w:sz w:val="20"/>
                <w:szCs w:val="20"/>
              </w:rPr>
              <w:t> </w:t>
            </w:r>
            <w:r w:rsidRPr="004D3533">
              <w:rPr>
                <w:w w:val="105"/>
                <w:sz w:val="20"/>
                <w:szCs w:val="20"/>
              </w:rPr>
              <w:t>完成跨尺度影像特征映射，构建并优化“机制驱动”的低输入风险预警模型。完成模型内部交叉验证与效能评估，形成临床转化工具，整理研究数据，撰写结题报告，发表高水平学术论文。</w:t>
            </w:r>
          </w:p>
        </w:tc>
      </w:tr>
    </w:tbl>
    <w:p w14:paraId="3A6FB5C5" w14:textId="77777777" w:rsidR="003F29C5" w:rsidRDefault="003F29C5">
      <w:pPr>
        <w:rPr>
          <w:rFonts w:hint="default"/>
        </w:rPr>
      </w:pPr>
    </w:p>
    <w:p w14:paraId="6A9D2905" w14:textId="77777777" w:rsidR="003F29C5" w:rsidRDefault="00000000">
      <w:pPr>
        <w:spacing w:line="560" w:lineRule="exact"/>
        <w:outlineLvl w:val="0"/>
        <w:rPr>
          <w:rFonts w:ascii="黑体" w:eastAsia="黑体" w:hAnsi="黑体" w:cs="Microsoft JhengHei"/>
          <w:sz w:val="32"/>
          <w:szCs w:val="32"/>
        </w:rPr>
      </w:pPr>
      <w:r>
        <w:rPr>
          <w:rFonts w:ascii="黑体" w:eastAsia="黑体" w:hAnsi="黑体" w:cs="Microsoft JhengHei"/>
          <w:sz w:val="32"/>
          <w:szCs w:val="32"/>
        </w:rPr>
        <w:t>四、经费预算表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4007"/>
        <w:gridCol w:w="2710"/>
      </w:tblGrid>
      <w:tr w:rsidR="003F29C5" w14:paraId="5DE65B09" w14:textId="77777777">
        <w:tc>
          <w:tcPr>
            <w:tcW w:w="3085" w:type="dxa"/>
            <w:tcBorders>
              <w:top w:val="single" w:sz="4" w:space="0" w:color="auto"/>
              <w:left w:val="single" w:sz="4" w:space="0" w:color="auto"/>
              <w:bottom w:val="single" w:sz="4" w:space="0" w:color="auto"/>
              <w:right w:val="single" w:sz="4" w:space="0" w:color="auto"/>
              <w:tl2br w:val="nil"/>
              <w:tr2bl w:val="nil"/>
            </w:tcBorders>
            <w:vAlign w:val="center"/>
          </w:tcPr>
          <w:p w14:paraId="2A3B9895" w14:textId="77777777" w:rsidR="003F29C5" w:rsidRDefault="00000000">
            <w:pPr>
              <w:spacing w:line="560" w:lineRule="exact"/>
              <w:jc w:val="center"/>
              <w:rPr>
                <w:rFonts w:ascii="楷体" w:eastAsia="楷体" w:hAnsi="楷体"/>
                <w:b/>
                <w:sz w:val="36"/>
                <w:szCs w:val="36"/>
              </w:rPr>
            </w:pPr>
            <w:r>
              <w:rPr>
                <w:rFonts w:ascii="楷体" w:eastAsia="楷体" w:hAnsi="楷体"/>
                <w:b/>
                <w:sz w:val="36"/>
                <w:szCs w:val="36"/>
              </w:rPr>
              <w:t>类别</w:t>
            </w:r>
          </w:p>
        </w:tc>
        <w:tc>
          <w:tcPr>
            <w:tcW w:w="4111" w:type="dxa"/>
            <w:tcBorders>
              <w:top w:val="single" w:sz="4" w:space="0" w:color="auto"/>
              <w:left w:val="single" w:sz="4" w:space="0" w:color="auto"/>
              <w:bottom w:val="single" w:sz="4" w:space="0" w:color="auto"/>
              <w:right w:val="single" w:sz="4" w:space="0" w:color="auto"/>
              <w:tl2br w:val="nil"/>
              <w:tr2bl w:val="nil"/>
            </w:tcBorders>
            <w:vAlign w:val="center"/>
          </w:tcPr>
          <w:p w14:paraId="4B5957F5" w14:textId="77777777" w:rsidR="003F29C5" w:rsidRDefault="00000000">
            <w:pPr>
              <w:spacing w:line="560" w:lineRule="exact"/>
              <w:jc w:val="center"/>
              <w:rPr>
                <w:rFonts w:ascii="楷体" w:eastAsia="楷体" w:hAnsi="楷体"/>
                <w:b/>
                <w:sz w:val="36"/>
                <w:szCs w:val="36"/>
              </w:rPr>
            </w:pPr>
            <w:r>
              <w:rPr>
                <w:rFonts w:ascii="楷体" w:eastAsia="楷体" w:hAnsi="楷体"/>
                <w:b/>
                <w:sz w:val="36"/>
                <w:szCs w:val="36"/>
              </w:rPr>
              <w:t>医院/疾控中心（万元）</w:t>
            </w:r>
          </w:p>
        </w:tc>
        <w:tc>
          <w:tcPr>
            <w:tcW w:w="2770" w:type="dxa"/>
            <w:tcBorders>
              <w:top w:val="single" w:sz="4" w:space="0" w:color="auto"/>
              <w:left w:val="single" w:sz="4" w:space="0" w:color="auto"/>
              <w:bottom w:val="single" w:sz="4" w:space="0" w:color="auto"/>
              <w:right w:val="single" w:sz="4" w:space="0" w:color="auto"/>
              <w:tl2br w:val="nil"/>
              <w:tr2bl w:val="nil"/>
            </w:tcBorders>
            <w:vAlign w:val="center"/>
          </w:tcPr>
          <w:p w14:paraId="3D9024F3" w14:textId="77777777" w:rsidR="003F29C5" w:rsidRDefault="00000000">
            <w:pPr>
              <w:spacing w:line="560" w:lineRule="exact"/>
              <w:jc w:val="center"/>
              <w:rPr>
                <w:rFonts w:ascii="楷体" w:eastAsia="楷体" w:hAnsi="楷体"/>
                <w:b/>
                <w:sz w:val="36"/>
                <w:szCs w:val="36"/>
              </w:rPr>
            </w:pPr>
            <w:r>
              <w:rPr>
                <w:rFonts w:ascii="楷体" w:eastAsia="楷体" w:hAnsi="楷体"/>
                <w:b/>
                <w:sz w:val="36"/>
                <w:szCs w:val="36"/>
              </w:rPr>
              <w:t>学校（万元）</w:t>
            </w:r>
          </w:p>
        </w:tc>
      </w:tr>
      <w:tr w:rsidR="003F29C5" w14:paraId="5C172094" w14:textId="77777777">
        <w:tc>
          <w:tcPr>
            <w:tcW w:w="3085" w:type="dxa"/>
            <w:tcBorders>
              <w:top w:val="single" w:sz="4" w:space="0" w:color="auto"/>
              <w:left w:val="single" w:sz="4" w:space="0" w:color="auto"/>
              <w:bottom w:val="single" w:sz="4" w:space="0" w:color="auto"/>
              <w:right w:val="single" w:sz="4" w:space="0" w:color="auto"/>
              <w:tl2br w:val="nil"/>
              <w:tr2bl w:val="nil"/>
            </w:tcBorders>
            <w:vAlign w:val="center"/>
          </w:tcPr>
          <w:p w14:paraId="693F6386" w14:textId="77777777" w:rsidR="003F29C5" w:rsidRDefault="00000000">
            <w:pPr>
              <w:spacing w:line="560" w:lineRule="exact"/>
              <w:rPr>
                <w:rFonts w:ascii="楷体" w:eastAsia="楷体" w:hAnsi="楷体"/>
                <w:sz w:val="32"/>
                <w:szCs w:val="32"/>
              </w:rPr>
            </w:pPr>
            <w:r>
              <w:rPr>
                <w:rFonts w:ascii="楷体" w:eastAsia="楷体" w:hAnsi="楷体"/>
                <w:sz w:val="32"/>
                <w:szCs w:val="32"/>
              </w:rPr>
              <w:t>（一）设备费</w:t>
            </w:r>
          </w:p>
        </w:tc>
        <w:tc>
          <w:tcPr>
            <w:tcW w:w="4111" w:type="dxa"/>
            <w:tcBorders>
              <w:top w:val="single" w:sz="4" w:space="0" w:color="auto"/>
              <w:left w:val="single" w:sz="4" w:space="0" w:color="auto"/>
              <w:bottom w:val="single" w:sz="4" w:space="0" w:color="auto"/>
              <w:right w:val="single" w:sz="4" w:space="0" w:color="auto"/>
              <w:tl2br w:val="nil"/>
              <w:tr2bl w:val="nil"/>
            </w:tcBorders>
            <w:vAlign w:val="center"/>
          </w:tcPr>
          <w:p w14:paraId="3FDA042A" w14:textId="77777777" w:rsidR="003F29C5" w:rsidRDefault="003F29C5">
            <w:pPr>
              <w:spacing w:line="560" w:lineRule="exact"/>
              <w:jc w:val="center"/>
              <w:rPr>
                <w:rFonts w:ascii="楷体" w:eastAsia="楷体" w:hAnsi="楷体"/>
                <w:sz w:val="32"/>
                <w:szCs w:val="32"/>
              </w:rPr>
            </w:pPr>
          </w:p>
        </w:tc>
        <w:tc>
          <w:tcPr>
            <w:tcW w:w="2770" w:type="dxa"/>
            <w:tcBorders>
              <w:top w:val="single" w:sz="4" w:space="0" w:color="auto"/>
              <w:left w:val="single" w:sz="4" w:space="0" w:color="auto"/>
              <w:bottom w:val="single" w:sz="4" w:space="0" w:color="auto"/>
              <w:right w:val="single" w:sz="4" w:space="0" w:color="auto"/>
              <w:tl2br w:val="nil"/>
              <w:tr2bl w:val="nil"/>
            </w:tcBorders>
            <w:vAlign w:val="center"/>
          </w:tcPr>
          <w:p w14:paraId="29DE9C18" w14:textId="77777777" w:rsidR="003F29C5" w:rsidRDefault="003F29C5">
            <w:pPr>
              <w:spacing w:line="560" w:lineRule="exact"/>
              <w:jc w:val="center"/>
              <w:rPr>
                <w:rFonts w:ascii="楷体" w:eastAsia="楷体" w:hAnsi="楷体"/>
                <w:sz w:val="32"/>
                <w:szCs w:val="32"/>
              </w:rPr>
            </w:pPr>
          </w:p>
        </w:tc>
      </w:tr>
      <w:tr w:rsidR="003F29C5" w14:paraId="50D6817B" w14:textId="77777777">
        <w:tc>
          <w:tcPr>
            <w:tcW w:w="3085" w:type="dxa"/>
            <w:tcBorders>
              <w:top w:val="single" w:sz="4" w:space="0" w:color="auto"/>
              <w:left w:val="single" w:sz="4" w:space="0" w:color="auto"/>
              <w:bottom w:val="single" w:sz="4" w:space="0" w:color="auto"/>
              <w:right w:val="single" w:sz="4" w:space="0" w:color="auto"/>
              <w:tl2br w:val="nil"/>
              <w:tr2bl w:val="nil"/>
            </w:tcBorders>
            <w:vAlign w:val="center"/>
          </w:tcPr>
          <w:p w14:paraId="7E49C220" w14:textId="77777777" w:rsidR="003F29C5" w:rsidRDefault="00000000">
            <w:pPr>
              <w:spacing w:line="560" w:lineRule="exact"/>
              <w:rPr>
                <w:rFonts w:ascii="楷体" w:eastAsia="楷体" w:hAnsi="楷体"/>
                <w:sz w:val="32"/>
                <w:szCs w:val="32"/>
              </w:rPr>
            </w:pPr>
            <w:r>
              <w:rPr>
                <w:rFonts w:ascii="楷体" w:eastAsia="楷体" w:hAnsi="楷体"/>
                <w:sz w:val="32"/>
                <w:szCs w:val="32"/>
              </w:rPr>
              <w:t>（二）业务费</w:t>
            </w:r>
          </w:p>
        </w:tc>
        <w:tc>
          <w:tcPr>
            <w:tcW w:w="4111" w:type="dxa"/>
            <w:tcBorders>
              <w:top w:val="single" w:sz="4" w:space="0" w:color="auto"/>
              <w:left w:val="single" w:sz="4" w:space="0" w:color="auto"/>
              <w:bottom w:val="single" w:sz="4" w:space="0" w:color="auto"/>
              <w:right w:val="single" w:sz="4" w:space="0" w:color="auto"/>
              <w:tl2br w:val="nil"/>
              <w:tr2bl w:val="nil"/>
            </w:tcBorders>
            <w:vAlign w:val="center"/>
          </w:tcPr>
          <w:p w14:paraId="6EA94932" w14:textId="77777777" w:rsidR="003F29C5" w:rsidRDefault="003F29C5">
            <w:pPr>
              <w:spacing w:line="560" w:lineRule="exact"/>
              <w:jc w:val="center"/>
              <w:rPr>
                <w:rFonts w:ascii="楷体" w:eastAsia="楷体" w:hAnsi="楷体"/>
                <w:sz w:val="32"/>
                <w:szCs w:val="32"/>
              </w:rPr>
            </w:pPr>
          </w:p>
        </w:tc>
        <w:tc>
          <w:tcPr>
            <w:tcW w:w="2770" w:type="dxa"/>
            <w:tcBorders>
              <w:top w:val="single" w:sz="4" w:space="0" w:color="auto"/>
              <w:left w:val="single" w:sz="4" w:space="0" w:color="auto"/>
              <w:bottom w:val="single" w:sz="4" w:space="0" w:color="auto"/>
              <w:right w:val="single" w:sz="4" w:space="0" w:color="auto"/>
              <w:tl2br w:val="nil"/>
              <w:tr2bl w:val="nil"/>
            </w:tcBorders>
            <w:vAlign w:val="center"/>
          </w:tcPr>
          <w:p w14:paraId="6F6A01DE" w14:textId="77777777" w:rsidR="003F29C5" w:rsidRDefault="003F29C5">
            <w:pPr>
              <w:spacing w:line="560" w:lineRule="exact"/>
              <w:jc w:val="center"/>
              <w:rPr>
                <w:rFonts w:ascii="楷体" w:eastAsia="楷体" w:hAnsi="楷体"/>
                <w:sz w:val="32"/>
                <w:szCs w:val="32"/>
              </w:rPr>
            </w:pPr>
          </w:p>
        </w:tc>
      </w:tr>
      <w:tr w:rsidR="003F29C5" w14:paraId="66CE0878" w14:textId="77777777">
        <w:tc>
          <w:tcPr>
            <w:tcW w:w="3085" w:type="dxa"/>
            <w:tcBorders>
              <w:top w:val="single" w:sz="4" w:space="0" w:color="auto"/>
              <w:left w:val="single" w:sz="4" w:space="0" w:color="auto"/>
              <w:bottom w:val="single" w:sz="4" w:space="0" w:color="auto"/>
              <w:right w:val="single" w:sz="4" w:space="0" w:color="auto"/>
              <w:tl2br w:val="nil"/>
              <w:tr2bl w:val="nil"/>
            </w:tcBorders>
            <w:vAlign w:val="center"/>
          </w:tcPr>
          <w:p w14:paraId="503231CF" w14:textId="77777777" w:rsidR="003F29C5" w:rsidRDefault="00000000">
            <w:pPr>
              <w:spacing w:line="560" w:lineRule="exact"/>
              <w:rPr>
                <w:rFonts w:ascii="楷体" w:eastAsia="楷体" w:hAnsi="楷体"/>
                <w:sz w:val="32"/>
                <w:szCs w:val="32"/>
              </w:rPr>
            </w:pPr>
            <w:r>
              <w:rPr>
                <w:rFonts w:ascii="楷体" w:eastAsia="楷体" w:hAnsi="楷体"/>
                <w:sz w:val="32"/>
                <w:szCs w:val="32"/>
              </w:rPr>
              <w:t>（三）劳务费</w:t>
            </w:r>
          </w:p>
        </w:tc>
        <w:tc>
          <w:tcPr>
            <w:tcW w:w="4111" w:type="dxa"/>
            <w:tcBorders>
              <w:top w:val="single" w:sz="4" w:space="0" w:color="auto"/>
              <w:left w:val="single" w:sz="4" w:space="0" w:color="auto"/>
              <w:bottom w:val="single" w:sz="4" w:space="0" w:color="auto"/>
              <w:right w:val="single" w:sz="4" w:space="0" w:color="auto"/>
              <w:tl2br w:val="nil"/>
              <w:tr2bl w:val="nil"/>
            </w:tcBorders>
            <w:vAlign w:val="center"/>
          </w:tcPr>
          <w:p w14:paraId="30ADC225" w14:textId="77777777" w:rsidR="003F29C5" w:rsidRDefault="003F29C5">
            <w:pPr>
              <w:spacing w:line="560" w:lineRule="exact"/>
              <w:jc w:val="center"/>
              <w:rPr>
                <w:rFonts w:ascii="楷体" w:eastAsia="楷体" w:hAnsi="楷体"/>
                <w:sz w:val="32"/>
                <w:szCs w:val="32"/>
              </w:rPr>
            </w:pPr>
          </w:p>
        </w:tc>
        <w:tc>
          <w:tcPr>
            <w:tcW w:w="2770" w:type="dxa"/>
            <w:tcBorders>
              <w:top w:val="single" w:sz="4" w:space="0" w:color="auto"/>
              <w:left w:val="single" w:sz="4" w:space="0" w:color="auto"/>
              <w:bottom w:val="single" w:sz="4" w:space="0" w:color="auto"/>
              <w:right w:val="single" w:sz="4" w:space="0" w:color="auto"/>
              <w:tl2br w:val="nil"/>
              <w:tr2bl w:val="nil"/>
            </w:tcBorders>
            <w:vAlign w:val="center"/>
          </w:tcPr>
          <w:p w14:paraId="14FDC728" w14:textId="77777777" w:rsidR="003F29C5" w:rsidRDefault="003F29C5">
            <w:pPr>
              <w:spacing w:line="560" w:lineRule="exact"/>
              <w:jc w:val="center"/>
              <w:rPr>
                <w:rFonts w:ascii="楷体" w:eastAsia="楷体" w:hAnsi="楷体"/>
                <w:sz w:val="32"/>
                <w:szCs w:val="32"/>
              </w:rPr>
            </w:pPr>
          </w:p>
        </w:tc>
      </w:tr>
      <w:tr w:rsidR="003F29C5" w14:paraId="36AC62CA" w14:textId="77777777">
        <w:tc>
          <w:tcPr>
            <w:tcW w:w="3085" w:type="dxa"/>
            <w:tcBorders>
              <w:top w:val="single" w:sz="4" w:space="0" w:color="auto"/>
              <w:left w:val="single" w:sz="4" w:space="0" w:color="auto"/>
              <w:bottom w:val="single" w:sz="4" w:space="0" w:color="auto"/>
              <w:right w:val="single" w:sz="4" w:space="0" w:color="auto"/>
              <w:tl2br w:val="nil"/>
              <w:tr2bl w:val="nil"/>
            </w:tcBorders>
            <w:vAlign w:val="center"/>
          </w:tcPr>
          <w:p w14:paraId="0927D39D" w14:textId="77777777" w:rsidR="003F29C5" w:rsidRDefault="00000000">
            <w:pPr>
              <w:spacing w:line="560" w:lineRule="exact"/>
              <w:rPr>
                <w:rFonts w:ascii="楷体" w:eastAsia="楷体" w:hAnsi="楷体"/>
                <w:sz w:val="32"/>
                <w:szCs w:val="32"/>
              </w:rPr>
            </w:pPr>
            <w:r>
              <w:rPr>
                <w:rFonts w:ascii="楷体" w:eastAsia="楷体" w:hAnsi="楷体"/>
                <w:sz w:val="32"/>
                <w:szCs w:val="32"/>
              </w:rPr>
              <w:t>（四）间接经费</w:t>
            </w:r>
          </w:p>
        </w:tc>
        <w:tc>
          <w:tcPr>
            <w:tcW w:w="4111" w:type="dxa"/>
            <w:tcBorders>
              <w:top w:val="single" w:sz="4" w:space="0" w:color="auto"/>
              <w:left w:val="single" w:sz="4" w:space="0" w:color="auto"/>
              <w:bottom w:val="single" w:sz="4" w:space="0" w:color="auto"/>
              <w:right w:val="single" w:sz="4" w:space="0" w:color="auto"/>
              <w:tl2br w:val="nil"/>
              <w:tr2bl w:val="nil"/>
            </w:tcBorders>
            <w:vAlign w:val="center"/>
          </w:tcPr>
          <w:p w14:paraId="57EDF6B7" w14:textId="77777777" w:rsidR="003F29C5" w:rsidRDefault="00000000">
            <w:pPr>
              <w:spacing w:line="560" w:lineRule="exact"/>
              <w:jc w:val="center"/>
              <w:rPr>
                <w:rFonts w:ascii="楷体" w:eastAsia="楷体" w:hAnsi="楷体"/>
                <w:sz w:val="32"/>
                <w:szCs w:val="32"/>
              </w:rPr>
            </w:pPr>
            <w:r>
              <w:rPr>
                <w:rFonts w:ascii="楷体" w:eastAsia="楷体" w:hAnsi="楷体"/>
                <w:sz w:val="32"/>
                <w:szCs w:val="32"/>
              </w:rPr>
              <w:t>0</w:t>
            </w:r>
          </w:p>
        </w:tc>
        <w:tc>
          <w:tcPr>
            <w:tcW w:w="2770" w:type="dxa"/>
            <w:tcBorders>
              <w:top w:val="single" w:sz="4" w:space="0" w:color="auto"/>
              <w:left w:val="single" w:sz="4" w:space="0" w:color="auto"/>
              <w:bottom w:val="single" w:sz="4" w:space="0" w:color="auto"/>
              <w:right w:val="single" w:sz="4" w:space="0" w:color="auto"/>
              <w:tl2br w:val="nil"/>
              <w:tr2bl w:val="nil"/>
            </w:tcBorders>
            <w:vAlign w:val="center"/>
          </w:tcPr>
          <w:p w14:paraId="5F1EABA9" w14:textId="77777777" w:rsidR="003F29C5" w:rsidRDefault="00000000">
            <w:pPr>
              <w:spacing w:line="560" w:lineRule="exact"/>
              <w:jc w:val="center"/>
              <w:rPr>
                <w:rFonts w:ascii="楷体" w:eastAsia="楷体" w:hAnsi="楷体"/>
                <w:sz w:val="32"/>
                <w:szCs w:val="32"/>
              </w:rPr>
            </w:pPr>
            <w:r>
              <w:rPr>
                <w:rFonts w:ascii="楷体" w:eastAsia="楷体" w:hAnsi="楷体"/>
                <w:sz w:val="32"/>
                <w:szCs w:val="32"/>
              </w:rPr>
              <w:t>0</w:t>
            </w:r>
          </w:p>
        </w:tc>
      </w:tr>
      <w:tr w:rsidR="003F29C5" w14:paraId="2647E9C0" w14:textId="77777777">
        <w:tc>
          <w:tcPr>
            <w:tcW w:w="3085" w:type="dxa"/>
            <w:tcBorders>
              <w:top w:val="single" w:sz="4" w:space="0" w:color="auto"/>
              <w:left w:val="single" w:sz="4" w:space="0" w:color="auto"/>
              <w:bottom w:val="single" w:sz="4" w:space="0" w:color="auto"/>
              <w:right w:val="single" w:sz="4" w:space="0" w:color="auto"/>
              <w:tl2br w:val="nil"/>
              <w:tr2bl w:val="nil"/>
            </w:tcBorders>
            <w:vAlign w:val="center"/>
          </w:tcPr>
          <w:p w14:paraId="0E56A48C" w14:textId="77777777" w:rsidR="003F29C5" w:rsidRDefault="00000000">
            <w:pPr>
              <w:spacing w:line="560" w:lineRule="exact"/>
              <w:rPr>
                <w:rFonts w:ascii="楷体" w:eastAsia="楷体" w:hAnsi="楷体"/>
                <w:sz w:val="32"/>
                <w:szCs w:val="32"/>
              </w:rPr>
            </w:pPr>
            <w:r>
              <w:rPr>
                <w:rFonts w:ascii="楷体" w:eastAsia="楷体" w:hAnsi="楷体"/>
                <w:sz w:val="32"/>
                <w:szCs w:val="32"/>
              </w:rPr>
              <w:t>（五）绩效</w:t>
            </w:r>
          </w:p>
        </w:tc>
        <w:tc>
          <w:tcPr>
            <w:tcW w:w="4111" w:type="dxa"/>
            <w:tcBorders>
              <w:top w:val="single" w:sz="4" w:space="0" w:color="auto"/>
              <w:left w:val="single" w:sz="4" w:space="0" w:color="auto"/>
              <w:bottom w:val="single" w:sz="4" w:space="0" w:color="auto"/>
              <w:right w:val="single" w:sz="4" w:space="0" w:color="auto"/>
              <w:tl2br w:val="nil"/>
              <w:tr2bl w:val="nil"/>
            </w:tcBorders>
            <w:vAlign w:val="center"/>
          </w:tcPr>
          <w:p w14:paraId="2CF33513" w14:textId="77777777" w:rsidR="003F29C5" w:rsidRDefault="00000000">
            <w:pPr>
              <w:spacing w:line="560" w:lineRule="exact"/>
              <w:jc w:val="center"/>
              <w:rPr>
                <w:rFonts w:ascii="楷体" w:eastAsia="楷体" w:hAnsi="楷体"/>
                <w:sz w:val="32"/>
                <w:szCs w:val="32"/>
              </w:rPr>
            </w:pPr>
            <w:r>
              <w:rPr>
                <w:rFonts w:ascii="楷体" w:eastAsia="楷体" w:hAnsi="楷体"/>
                <w:sz w:val="32"/>
                <w:szCs w:val="32"/>
              </w:rPr>
              <w:t>0</w:t>
            </w:r>
          </w:p>
        </w:tc>
        <w:tc>
          <w:tcPr>
            <w:tcW w:w="2770" w:type="dxa"/>
            <w:tcBorders>
              <w:top w:val="single" w:sz="4" w:space="0" w:color="auto"/>
              <w:left w:val="single" w:sz="4" w:space="0" w:color="auto"/>
              <w:bottom w:val="single" w:sz="4" w:space="0" w:color="auto"/>
              <w:right w:val="single" w:sz="4" w:space="0" w:color="auto"/>
              <w:tl2br w:val="nil"/>
              <w:tr2bl w:val="nil"/>
            </w:tcBorders>
            <w:vAlign w:val="center"/>
          </w:tcPr>
          <w:p w14:paraId="0947E5CF" w14:textId="77777777" w:rsidR="003F29C5" w:rsidRDefault="00000000">
            <w:pPr>
              <w:spacing w:line="560" w:lineRule="exact"/>
              <w:jc w:val="center"/>
              <w:rPr>
                <w:rFonts w:ascii="楷体" w:eastAsia="楷体" w:hAnsi="楷体"/>
                <w:sz w:val="32"/>
                <w:szCs w:val="32"/>
              </w:rPr>
            </w:pPr>
            <w:r>
              <w:rPr>
                <w:rFonts w:ascii="楷体" w:eastAsia="楷体" w:hAnsi="楷体"/>
                <w:sz w:val="32"/>
                <w:szCs w:val="32"/>
              </w:rPr>
              <w:t>0</w:t>
            </w:r>
          </w:p>
        </w:tc>
      </w:tr>
      <w:tr w:rsidR="003F29C5" w14:paraId="1ACF874F" w14:textId="77777777">
        <w:tc>
          <w:tcPr>
            <w:tcW w:w="3085" w:type="dxa"/>
            <w:tcBorders>
              <w:top w:val="single" w:sz="4" w:space="0" w:color="auto"/>
              <w:left w:val="single" w:sz="4" w:space="0" w:color="auto"/>
              <w:bottom w:val="single" w:sz="4" w:space="0" w:color="auto"/>
              <w:right w:val="single" w:sz="4" w:space="0" w:color="auto"/>
              <w:tl2br w:val="nil"/>
              <w:tr2bl w:val="nil"/>
            </w:tcBorders>
            <w:vAlign w:val="center"/>
          </w:tcPr>
          <w:p w14:paraId="2FDF4364" w14:textId="77777777" w:rsidR="003F29C5" w:rsidRDefault="00000000">
            <w:pPr>
              <w:spacing w:line="560" w:lineRule="exact"/>
              <w:jc w:val="center"/>
              <w:rPr>
                <w:rFonts w:ascii="楷体" w:eastAsia="楷体" w:hAnsi="楷体"/>
                <w:b/>
                <w:sz w:val="32"/>
                <w:szCs w:val="32"/>
              </w:rPr>
            </w:pPr>
            <w:r>
              <w:rPr>
                <w:rFonts w:ascii="楷体" w:eastAsia="楷体" w:hAnsi="楷体"/>
                <w:b/>
                <w:sz w:val="32"/>
                <w:szCs w:val="32"/>
              </w:rPr>
              <w:t>合计</w:t>
            </w:r>
          </w:p>
        </w:tc>
        <w:tc>
          <w:tcPr>
            <w:tcW w:w="4111" w:type="dxa"/>
            <w:tcBorders>
              <w:top w:val="single" w:sz="4" w:space="0" w:color="auto"/>
              <w:left w:val="single" w:sz="4" w:space="0" w:color="auto"/>
              <w:bottom w:val="single" w:sz="4" w:space="0" w:color="auto"/>
              <w:right w:val="single" w:sz="4" w:space="0" w:color="auto"/>
              <w:tl2br w:val="nil"/>
              <w:tr2bl w:val="nil"/>
            </w:tcBorders>
            <w:vAlign w:val="center"/>
          </w:tcPr>
          <w:p w14:paraId="23292899" w14:textId="77777777" w:rsidR="003F29C5" w:rsidRDefault="003F29C5">
            <w:pPr>
              <w:spacing w:line="560" w:lineRule="exact"/>
              <w:jc w:val="center"/>
              <w:rPr>
                <w:rFonts w:ascii="楷体" w:eastAsia="楷体" w:hAnsi="楷体"/>
                <w:sz w:val="32"/>
                <w:szCs w:val="32"/>
              </w:rPr>
            </w:pPr>
          </w:p>
        </w:tc>
        <w:tc>
          <w:tcPr>
            <w:tcW w:w="2770" w:type="dxa"/>
            <w:tcBorders>
              <w:top w:val="single" w:sz="4" w:space="0" w:color="auto"/>
              <w:left w:val="single" w:sz="4" w:space="0" w:color="auto"/>
              <w:bottom w:val="single" w:sz="4" w:space="0" w:color="auto"/>
              <w:right w:val="single" w:sz="4" w:space="0" w:color="auto"/>
              <w:tl2br w:val="nil"/>
              <w:tr2bl w:val="nil"/>
            </w:tcBorders>
            <w:vAlign w:val="center"/>
          </w:tcPr>
          <w:p w14:paraId="7D07442E" w14:textId="77777777" w:rsidR="003F29C5" w:rsidRDefault="003F29C5">
            <w:pPr>
              <w:spacing w:line="560" w:lineRule="exact"/>
              <w:jc w:val="center"/>
              <w:rPr>
                <w:rFonts w:ascii="楷体" w:eastAsia="楷体" w:hAnsi="楷体"/>
                <w:sz w:val="32"/>
                <w:szCs w:val="32"/>
              </w:rPr>
            </w:pPr>
          </w:p>
        </w:tc>
      </w:tr>
      <w:tr w:rsidR="003F29C5" w14:paraId="05826886" w14:textId="77777777">
        <w:tc>
          <w:tcPr>
            <w:tcW w:w="3085" w:type="dxa"/>
            <w:tcBorders>
              <w:top w:val="single" w:sz="4" w:space="0" w:color="auto"/>
              <w:left w:val="single" w:sz="4" w:space="0" w:color="auto"/>
              <w:bottom w:val="single" w:sz="4" w:space="0" w:color="auto"/>
              <w:right w:val="single" w:sz="4" w:space="0" w:color="auto"/>
              <w:tl2br w:val="nil"/>
              <w:tr2bl w:val="nil"/>
            </w:tcBorders>
            <w:vAlign w:val="center"/>
          </w:tcPr>
          <w:p w14:paraId="26869913" w14:textId="77777777" w:rsidR="003F29C5" w:rsidRDefault="00000000">
            <w:pPr>
              <w:spacing w:line="560" w:lineRule="exact"/>
              <w:jc w:val="center"/>
              <w:rPr>
                <w:rFonts w:ascii="楷体" w:eastAsia="楷体" w:hAnsi="楷体"/>
                <w:b/>
                <w:sz w:val="32"/>
                <w:szCs w:val="32"/>
              </w:rPr>
            </w:pPr>
            <w:r>
              <w:rPr>
                <w:rFonts w:ascii="楷体" w:eastAsia="楷体" w:hAnsi="楷体"/>
                <w:b/>
                <w:sz w:val="44"/>
                <w:szCs w:val="44"/>
              </w:rPr>
              <w:t>总计</w:t>
            </w:r>
          </w:p>
        </w:tc>
        <w:tc>
          <w:tcPr>
            <w:tcW w:w="6881"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4AB2A4C" w14:textId="77777777" w:rsidR="003F29C5" w:rsidRDefault="003F29C5">
            <w:pPr>
              <w:spacing w:line="560" w:lineRule="exact"/>
              <w:jc w:val="center"/>
              <w:rPr>
                <w:rFonts w:ascii="楷体" w:eastAsia="楷体" w:hAnsi="楷体"/>
                <w:sz w:val="32"/>
                <w:szCs w:val="32"/>
              </w:rPr>
            </w:pPr>
          </w:p>
        </w:tc>
      </w:tr>
    </w:tbl>
    <w:p w14:paraId="76F09805" w14:textId="77777777" w:rsidR="003F29C5" w:rsidRDefault="003F29C5">
      <w:pPr>
        <w:spacing w:line="560" w:lineRule="exact"/>
        <w:rPr>
          <w:rFonts w:ascii="楷体" w:eastAsia="楷体" w:hAnsi="楷体"/>
          <w:color w:val="2F5496"/>
          <w:sz w:val="32"/>
          <w:szCs w:val="32"/>
        </w:rPr>
      </w:pPr>
    </w:p>
    <w:p w14:paraId="0704F2A1" w14:textId="77777777" w:rsidR="003F29C5" w:rsidRDefault="003F29C5">
      <w:pPr>
        <w:pStyle w:val="a3"/>
        <w:kinsoku w:val="0"/>
        <w:overflowPunct w:val="0"/>
        <w:spacing w:before="213" w:line="158" w:lineRule="auto"/>
        <w:ind w:left="103" w:right="1039"/>
        <w:rPr>
          <w:rFonts w:ascii="Microsoft JhengHei" w:eastAsia="Microsoft JhengHei" w:cs="Microsoft JhengHei" w:hint="default"/>
          <w:b/>
          <w:sz w:val="30"/>
          <w:szCs w:val="30"/>
          <w:highlight w:val="yellow"/>
        </w:rPr>
        <w:sectPr w:rsidR="003F29C5">
          <w:pgSz w:w="11910" w:h="16840"/>
          <w:pgMar w:top="1440" w:right="1080" w:bottom="1440" w:left="1080" w:header="873" w:footer="874" w:gutter="0"/>
          <w:cols w:space="720"/>
          <w:docGrid w:linePitch="299"/>
        </w:sectPr>
      </w:pPr>
    </w:p>
    <w:p w14:paraId="63DCB2DF" w14:textId="77777777" w:rsidR="003F29C5" w:rsidRDefault="00000000">
      <w:pPr>
        <w:pStyle w:val="1"/>
        <w:kinsoku w:val="0"/>
        <w:overflowPunct w:val="0"/>
        <w:spacing w:line="560" w:lineRule="exact"/>
        <w:ind w:left="0" w:right="-31"/>
        <w:rPr>
          <w:rFonts w:ascii="黑体" w:eastAsia="黑体" w:hAnsi="黑体"/>
          <w:b w:val="0"/>
          <w:sz w:val="32"/>
          <w:szCs w:val="32"/>
        </w:rPr>
      </w:pPr>
      <w:r>
        <w:rPr>
          <w:rFonts w:ascii="黑体" w:eastAsia="黑体" w:hAnsi="黑体"/>
          <w:b w:val="0"/>
          <w:sz w:val="32"/>
          <w:szCs w:val="32"/>
        </w:rPr>
        <w:lastRenderedPageBreak/>
        <w:t>五、已有研究基础、承担优势。</w:t>
      </w:r>
    </w:p>
    <w:p w14:paraId="24C7118B" w14:textId="77777777" w:rsidR="003F29C5" w:rsidRDefault="00000000">
      <w:pPr>
        <w:spacing w:line="560" w:lineRule="exact"/>
        <w:rPr>
          <w:rFonts w:ascii="楷体_GB2312" w:eastAsia="楷体_GB2312" w:hint="default"/>
          <w:color w:val="2F5496"/>
          <w:sz w:val="32"/>
          <w:szCs w:val="32"/>
        </w:rPr>
      </w:pPr>
      <w:r>
        <w:rPr>
          <w:rFonts w:ascii="楷体_GB2312" w:eastAsia="楷体_GB2312"/>
          <w:color w:val="2F5496"/>
          <w:sz w:val="32"/>
          <w:szCs w:val="32"/>
        </w:rPr>
        <w:t>（一）前期研究基础</w:t>
      </w:r>
      <w:r>
        <w:rPr>
          <w:rFonts w:ascii="黑体" w:eastAsia="黑体" w:hAnsi="黑体"/>
          <w:b/>
          <w:sz w:val="32"/>
          <w:szCs w:val="32"/>
        </w:rPr>
        <w:t>（</w:t>
      </w:r>
      <w:r>
        <w:rPr>
          <w:rFonts w:ascii="楷体" w:eastAsia="楷体" w:hAnsi="楷体"/>
          <w:sz w:val="28"/>
          <w:szCs w:val="28"/>
        </w:rPr>
        <w:t>限1000字</w:t>
      </w:r>
      <w:r>
        <w:rPr>
          <w:rFonts w:ascii="黑体" w:eastAsia="黑体" w:hAnsi="黑体"/>
          <w:b/>
          <w:sz w:val="32"/>
          <w:szCs w:val="32"/>
        </w:rPr>
        <w:t>）</w:t>
      </w:r>
    </w:p>
    <w:p w14:paraId="1EE8C43C" w14:textId="77777777" w:rsidR="00283B3B" w:rsidRPr="00283B3B" w:rsidRDefault="00283B3B" w:rsidP="00283B3B">
      <w:pPr>
        <w:spacing w:line="560" w:lineRule="exact"/>
        <w:ind w:firstLineChars="200" w:firstLine="480"/>
        <w:rPr>
          <w:rFonts w:ascii="华文楷体" w:eastAsia="华文楷体" w:hAnsi="华文楷体"/>
          <w:sz w:val="24"/>
          <w:szCs w:val="24"/>
        </w:rPr>
      </w:pPr>
      <w:r w:rsidRPr="00283B3B">
        <w:rPr>
          <w:rFonts w:ascii="华文楷体" w:eastAsia="华文楷体" w:hAnsi="华文楷体"/>
          <w:sz w:val="24"/>
          <w:szCs w:val="24"/>
        </w:rPr>
        <w:t>本项目依托成都市第七人民医院放射科丰富的临床资源，联合四川大学华西医院放射科在精神影像学领域的深厚技术积累，双方团队“临床-基础-技术”深度融合与优势互补，为本项目的顺利实施奠定了坚实基础。</w:t>
      </w:r>
    </w:p>
    <w:p w14:paraId="62BCFED2" w14:textId="77777777" w:rsidR="00283B3B" w:rsidRPr="00283B3B" w:rsidRDefault="00283B3B" w:rsidP="00283B3B">
      <w:pPr>
        <w:spacing w:line="560" w:lineRule="exact"/>
        <w:rPr>
          <w:rFonts w:ascii="华文楷体" w:eastAsia="华文楷体" w:hAnsi="华文楷体"/>
          <w:b/>
          <w:bCs/>
          <w:sz w:val="24"/>
          <w:szCs w:val="24"/>
        </w:rPr>
      </w:pPr>
      <w:r w:rsidRPr="00283B3B">
        <w:rPr>
          <w:rFonts w:ascii="华文楷体" w:eastAsia="华文楷体" w:hAnsi="华文楷体"/>
          <w:b/>
          <w:bCs/>
          <w:sz w:val="24"/>
          <w:szCs w:val="24"/>
        </w:rPr>
        <w:t>1. 丰富的肺癌临床诊疗经验与队列资源（成都市第七人民医院）</w:t>
      </w:r>
    </w:p>
    <w:p w14:paraId="0788B401" w14:textId="77777777" w:rsidR="00283B3B" w:rsidRPr="00283B3B" w:rsidRDefault="00283B3B" w:rsidP="00283B3B">
      <w:pPr>
        <w:spacing w:line="560" w:lineRule="exact"/>
        <w:ind w:firstLineChars="200" w:firstLine="480"/>
        <w:rPr>
          <w:rFonts w:ascii="华文楷体" w:eastAsia="华文楷体" w:hAnsi="华文楷体"/>
          <w:sz w:val="24"/>
          <w:szCs w:val="24"/>
        </w:rPr>
      </w:pPr>
      <w:r w:rsidRPr="00283B3B">
        <w:rPr>
          <w:rFonts w:ascii="华文楷体" w:eastAsia="华文楷体" w:hAnsi="华文楷体"/>
          <w:sz w:val="24"/>
          <w:szCs w:val="24"/>
        </w:rPr>
        <w:t>项目申请人范杰就职于市七医院放射科，从事临床影像诊断工作20余年，精通磁共振（MRI）及CT成像原理与三维图像后处理技术。申请人可熟练开展肺癌MR评估等多模态高级成像技术，近5年来主持并参与多项科研课题，具备扎实的影像诊断与临床科研转化能力。</w:t>
      </w:r>
    </w:p>
    <w:p w14:paraId="226E4B8E" w14:textId="77777777" w:rsidR="00283B3B" w:rsidRPr="00283B3B" w:rsidRDefault="00283B3B" w:rsidP="00283B3B">
      <w:pPr>
        <w:spacing w:line="560" w:lineRule="exact"/>
        <w:rPr>
          <w:rFonts w:ascii="华文楷体" w:eastAsia="华文楷体" w:hAnsi="华文楷体"/>
          <w:sz w:val="24"/>
          <w:szCs w:val="24"/>
        </w:rPr>
      </w:pPr>
      <w:r w:rsidRPr="00283B3B">
        <w:rPr>
          <w:rFonts w:ascii="华文楷体" w:eastAsia="华文楷体" w:hAnsi="华文楷体"/>
          <w:sz w:val="24"/>
          <w:szCs w:val="24"/>
        </w:rPr>
        <w:t>在队列资源方面，课题组依托我院放射科、胸外科及肿瘤科，已系统收集并建立了2021年1月至2024年12月期间经病理确诊的肺癌病例队列，共计1200余例。所有病例均完成了≥2年的规律随访，随访资料完整率达90%以上。数据库不仅涵盖详尽的临床病理特征（年龄、分期、基因突变状态等）与治疗预后信息（靶向治疗方案、RFS、OS等），更在肺癌脑转移常规筛查与随访中，积累了大量基线及随访期的脑部厚层MRI影像数据。前期高质量、长随访的真实世界数据积累，为本项目中靶向治疗神经毒性回顾性基准的构建提供了坚实的数据支撑。</w:t>
      </w:r>
    </w:p>
    <w:p w14:paraId="7C553B1B" w14:textId="77777777" w:rsidR="00283B3B" w:rsidRPr="00283B3B" w:rsidRDefault="00283B3B" w:rsidP="00283B3B">
      <w:pPr>
        <w:spacing w:line="560" w:lineRule="exact"/>
        <w:rPr>
          <w:rFonts w:ascii="华文楷体" w:eastAsia="华文楷体" w:hAnsi="华文楷体"/>
          <w:b/>
          <w:bCs/>
          <w:sz w:val="24"/>
          <w:szCs w:val="24"/>
        </w:rPr>
      </w:pPr>
      <w:r w:rsidRPr="00283B3B">
        <w:rPr>
          <w:rFonts w:ascii="华文楷体" w:eastAsia="华文楷体" w:hAnsi="华文楷体"/>
          <w:b/>
          <w:bCs/>
          <w:sz w:val="24"/>
          <w:szCs w:val="24"/>
        </w:rPr>
        <w:t>2. 合作团队具有扎实的精神影像学基础</w:t>
      </w:r>
    </w:p>
    <w:p w14:paraId="7F2D65FB" w14:textId="77777777" w:rsidR="00283B3B" w:rsidRDefault="00283B3B" w:rsidP="00283B3B">
      <w:pPr>
        <w:spacing w:line="560" w:lineRule="exact"/>
        <w:ind w:firstLineChars="200" w:firstLine="480"/>
        <w:rPr>
          <w:rFonts w:ascii="华文楷体" w:eastAsia="华文楷体" w:hAnsi="华文楷体"/>
          <w:sz w:val="24"/>
          <w:szCs w:val="24"/>
        </w:rPr>
      </w:pPr>
      <w:r w:rsidRPr="00283B3B">
        <w:rPr>
          <w:rFonts w:ascii="华文楷体" w:eastAsia="华文楷体" w:hAnsi="华文楷体"/>
          <w:sz w:val="24"/>
          <w:szCs w:val="24"/>
        </w:rPr>
        <w:t xml:space="preserve">本项目将联合四川大学华西医院张帘青助理研究员进行深度合作。张帘青，博士，长期基于磁共振进行海马与精神疾病的机制与诊疗应用研究。作为第一作者/共同第一作者发表国际高水平论文 12 篇，包括 </w:t>
      </w:r>
      <w:r w:rsidRPr="00283B3B">
        <w:rPr>
          <w:rFonts w:ascii="华文楷体" w:eastAsia="华文楷体" w:hAnsi="华文楷体"/>
          <w:i/>
          <w:iCs/>
          <w:sz w:val="24"/>
          <w:szCs w:val="24"/>
        </w:rPr>
        <w:t>Neuropsychopharmacology</w:t>
      </w:r>
      <w:r w:rsidRPr="00283B3B">
        <w:rPr>
          <w:rFonts w:ascii="华文楷体" w:eastAsia="华文楷体" w:hAnsi="华文楷体"/>
          <w:sz w:val="24"/>
          <w:szCs w:val="24"/>
        </w:rPr>
        <w:t>、</w:t>
      </w:r>
      <w:r w:rsidRPr="00283B3B">
        <w:rPr>
          <w:rFonts w:ascii="华文楷体" w:eastAsia="华文楷体" w:hAnsi="华文楷体"/>
          <w:i/>
          <w:iCs/>
          <w:sz w:val="24"/>
          <w:szCs w:val="24"/>
        </w:rPr>
        <w:t>Human Brain Mapping</w:t>
      </w:r>
      <w:r w:rsidRPr="00283B3B">
        <w:rPr>
          <w:rFonts w:ascii="华文楷体" w:eastAsia="华文楷体" w:hAnsi="华文楷体"/>
          <w:sz w:val="24"/>
          <w:szCs w:val="24"/>
        </w:rPr>
        <w:t xml:space="preserve"> 等领域内重要杂志，累积他引 60 次。研究成果多次在磁共振领域内规模最大的顶级会议——ISMRM &amp; ISMRT 联合会议作报告，2024 ISMRT 中国地区会议讲者、2025 年 ISMRT 多语言：中国分会（2025 ISMRT Multilingual: China Session）讲者，2023–2025 年担任大会论文审稿人及分会场主持，多次获得会议 magna cum laude（优等）奖、E.K. Zavoisky 奖学金、教育奖学金。主持科研项目 5 项（包括四川省科技厅自然科学基金青年基金项目、面上项目）。参与编写《精</w:t>
      </w:r>
      <w:r w:rsidRPr="00283B3B">
        <w:rPr>
          <w:rFonts w:ascii="华文楷体" w:eastAsia="华文楷体" w:hAnsi="华文楷体"/>
          <w:sz w:val="24"/>
          <w:szCs w:val="24"/>
        </w:rPr>
        <w:lastRenderedPageBreak/>
        <w:t xml:space="preserve">神影像诊断学》、《精神影像与神经调控》及《精神影像与脑科学》。担任 </w:t>
      </w:r>
      <w:r w:rsidRPr="00283B3B">
        <w:rPr>
          <w:rFonts w:ascii="华文楷体" w:eastAsia="华文楷体" w:hAnsi="华文楷体"/>
          <w:i/>
          <w:iCs/>
          <w:sz w:val="24"/>
          <w:szCs w:val="24"/>
        </w:rPr>
        <w:t>NeuroImage</w:t>
      </w:r>
      <w:r w:rsidRPr="00283B3B">
        <w:rPr>
          <w:rFonts w:ascii="华文楷体" w:eastAsia="华文楷体" w:hAnsi="华文楷体"/>
          <w:sz w:val="24"/>
          <w:szCs w:val="24"/>
        </w:rPr>
        <w:t>、</w:t>
      </w:r>
      <w:r w:rsidRPr="00283B3B">
        <w:rPr>
          <w:rFonts w:ascii="华文楷体" w:eastAsia="华文楷体" w:hAnsi="华文楷体"/>
          <w:i/>
          <w:iCs/>
          <w:sz w:val="24"/>
          <w:szCs w:val="24"/>
        </w:rPr>
        <w:t>Translational Psychiatry</w:t>
      </w:r>
      <w:r w:rsidRPr="00283B3B">
        <w:rPr>
          <w:rFonts w:ascii="华文楷体" w:eastAsia="华文楷体" w:hAnsi="华文楷体"/>
          <w:sz w:val="24"/>
          <w:szCs w:val="24"/>
        </w:rPr>
        <w:t>、</w:t>
      </w:r>
      <w:r w:rsidRPr="00283B3B">
        <w:rPr>
          <w:rFonts w:ascii="华文楷体" w:eastAsia="华文楷体" w:hAnsi="华文楷体"/>
          <w:i/>
          <w:iCs/>
          <w:sz w:val="24"/>
          <w:szCs w:val="24"/>
        </w:rPr>
        <w:t>Journal of Affective Disorders</w:t>
      </w:r>
      <w:r w:rsidRPr="00283B3B">
        <w:rPr>
          <w:rFonts w:ascii="华文楷体" w:eastAsia="华文楷体" w:hAnsi="华文楷体"/>
          <w:sz w:val="24"/>
          <w:szCs w:val="24"/>
        </w:rPr>
        <w:t xml:space="preserve"> 等高水平杂志审稿专家。</w:t>
      </w:r>
    </w:p>
    <w:p w14:paraId="45D52219" w14:textId="77777777" w:rsidR="00283B3B" w:rsidRDefault="00283B3B" w:rsidP="00283B3B">
      <w:pPr>
        <w:spacing w:line="560" w:lineRule="exact"/>
        <w:ind w:firstLineChars="200" w:firstLine="480"/>
        <w:rPr>
          <w:rFonts w:ascii="华文楷体" w:eastAsia="华文楷体" w:hAnsi="华文楷体"/>
          <w:sz w:val="24"/>
          <w:szCs w:val="24"/>
        </w:rPr>
      </w:pPr>
      <w:r w:rsidRPr="00283B3B">
        <w:rPr>
          <w:rFonts w:ascii="华文楷体" w:eastAsia="华文楷体" w:hAnsi="华文楷体"/>
          <w:sz w:val="24"/>
          <w:szCs w:val="24"/>
        </w:rPr>
        <w:t>团队成员长期致力于精神影像学与认知神经科学研究，能够（1）搭建成熟的多模态磁共振（结构MRI、静息态/任务态fMRI、DTI等）数据采集与标准化预处理流水线，针对不同场景下的脑结构及功能损害特点设计神经心理学测评方案，能够为本项目肺癌CRCI的前瞻性研究方案设计及实施落地提供充分的技术保障。</w:t>
      </w:r>
    </w:p>
    <w:p w14:paraId="569FCC45" w14:textId="77777777" w:rsidR="00283B3B" w:rsidRDefault="00283B3B" w:rsidP="00283B3B">
      <w:pPr>
        <w:spacing w:line="560" w:lineRule="exact"/>
        <w:ind w:firstLineChars="200" w:firstLine="480"/>
        <w:rPr>
          <w:rFonts w:ascii="华文楷体" w:eastAsia="华文楷体" w:hAnsi="华文楷体"/>
          <w:sz w:val="24"/>
          <w:szCs w:val="24"/>
        </w:rPr>
      </w:pPr>
      <w:r w:rsidRPr="00283B3B">
        <w:rPr>
          <w:rFonts w:ascii="华文楷体" w:eastAsia="华文楷体" w:hAnsi="华文楷体"/>
          <w:sz w:val="24"/>
          <w:szCs w:val="24"/>
        </w:rPr>
        <w:t>（2）合作人员团队前期对于精神影像学高分辨多模态数据处理及解读具有丰富的经验，且具有将精神影像学技术及方法迁移到不同环境下（如高原慢性缺氧等）进行学科交叉的能力。这些成熟的分析范式可直接迁移至肺癌靶向治疗相关认知障碍（CRCI）的脑功能重塑研究中，为项目的“早期识别”与“精准判定”提供可靠的定量生物标志物。针对本项目中回顾性临床厚层MRI数据的利用难题，团队成员已熟练掌握基于深度学习的SynthSeg跨模态脑图谱分割算法。该技术能够高精度地从低分辨率、多中心异质性的临床常规影像中提取皮层厚度等关键脑区的形态学特征，为构建靶向治疗神经毒性的回顾性基准提供了不可或缺的核心技术保障。</w:t>
      </w:r>
    </w:p>
    <w:p w14:paraId="06D9245B" w14:textId="77777777" w:rsidR="00283B3B" w:rsidRDefault="00283B3B" w:rsidP="00283B3B">
      <w:pPr>
        <w:spacing w:line="560" w:lineRule="exact"/>
        <w:ind w:firstLineChars="200" w:firstLine="480"/>
        <w:rPr>
          <w:rFonts w:ascii="华文楷体" w:eastAsia="华文楷体" w:hAnsi="华文楷体"/>
          <w:sz w:val="24"/>
          <w:szCs w:val="24"/>
        </w:rPr>
      </w:pPr>
      <w:r w:rsidRPr="00283B3B">
        <w:rPr>
          <w:rFonts w:ascii="华文楷体" w:eastAsia="华文楷体" w:hAnsi="华文楷体"/>
          <w:sz w:val="24"/>
          <w:szCs w:val="24"/>
        </w:rPr>
        <w:t>（3）临床预测模型构建与AI算法应用</w:t>
      </w:r>
      <w:r w:rsidRPr="00283B3B">
        <w:rPr>
          <w:rFonts w:ascii="华文楷体" w:eastAsia="华文楷体" w:hAnsi="华文楷体"/>
          <w:sz w:val="24"/>
          <w:szCs w:val="24"/>
        </w:rPr>
        <w:br/>
        <w:t>团队在医学影像AI与机器学习领域具有深厚积累，熟练运用支持向量机（SVM）、随机森林及深度神经网络等算法构建临床预测模型。前期已成功开发多项基于多模态影像特征的疗效预测与风险分层模型，这为本项目整合临床量表、血液学指标与影像学特征，构建CRCI高危人群的早期预警模型奠定了坚实的数据挖掘与建模基础。</w:t>
      </w:r>
    </w:p>
    <w:p w14:paraId="229040D4" w14:textId="178C9266" w:rsidR="00283B3B" w:rsidRPr="00283B3B" w:rsidRDefault="00283B3B" w:rsidP="00283B3B">
      <w:pPr>
        <w:spacing w:line="560" w:lineRule="exact"/>
        <w:ind w:firstLineChars="200" w:firstLine="480"/>
        <w:rPr>
          <w:rFonts w:ascii="华文楷体" w:eastAsia="华文楷体" w:hAnsi="华文楷体"/>
          <w:sz w:val="24"/>
          <w:szCs w:val="24"/>
        </w:rPr>
      </w:pPr>
      <w:r w:rsidRPr="00283B3B">
        <w:rPr>
          <w:rFonts w:ascii="华文楷体" w:eastAsia="华文楷体" w:hAnsi="华文楷体"/>
          <w:sz w:val="24"/>
          <w:szCs w:val="24"/>
        </w:rPr>
        <w:t>综上所述，申请人团队在肺癌靶向治疗领域具备丰富的临床资源与队列建设能力，合作团队在精神影像学数据挖掘、认知障碍机制解析及神经调控实验设计方面拥有前沿的技术储备。双方的前期工作与本项目高度契合，完全具备完成本项目各项研究内容的能力与条件。</w:t>
      </w:r>
    </w:p>
    <w:p w14:paraId="6E98B429" w14:textId="77777777" w:rsidR="00283B3B" w:rsidRPr="00283B3B" w:rsidRDefault="00283B3B">
      <w:pPr>
        <w:spacing w:line="560" w:lineRule="exact"/>
        <w:rPr>
          <w:rFonts w:ascii="华文楷体" w:eastAsia="华文楷体" w:hAnsi="华文楷体"/>
          <w:sz w:val="24"/>
          <w:szCs w:val="24"/>
        </w:rPr>
      </w:pPr>
    </w:p>
    <w:p w14:paraId="26B3FCC3" w14:textId="77777777" w:rsidR="00283B3B" w:rsidRDefault="00283B3B">
      <w:pPr>
        <w:spacing w:line="560" w:lineRule="exact"/>
        <w:rPr>
          <w:rFonts w:ascii="楷体_GB2312" w:eastAsia="楷体_GB2312" w:hint="default"/>
          <w:color w:val="2F5496"/>
          <w:sz w:val="32"/>
          <w:szCs w:val="32"/>
        </w:rPr>
      </w:pPr>
    </w:p>
    <w:p w14:paraId="3AE10E6A" w14:textId="77777777" w:rsidR="003F29C5" w:rsidRDefault="00000000">
      <w:pPr>
        <w:spacing w:line="560" w:lineRule="exact"/>
        <w:rPr>
          <w:rFonts w:ascii="楷体_GB2312" w:eastAsia="楷体_GB2312" w:hint="default"/>
          <w:color w:val="2F5496"/>
          <w:sz w:val="32"/>
          <w:szCs w:val="32"/>
        </w:rPr>
      </w:pPr>
      <w:r>
        <w:rPr>
          <w:rFonts w:ascii="楷体_GB2312" w:eastAsia="楷体_GB2312"/>
          <w:color w:val="2F5496"/>
          <w:sz w:val="32"/>
          <w:szCs w:val="32"/>
        </w:rPr>
        <w:lastRenderedPageBreak/>
        <w:t>（二）承担优势</w:t>
      </w:r>
    </w:p>
    <w:p w14:paraId="3492F420" w14:textId="77777777" w:rsidR="00283B3B" w:rsidRDefault="00283B3B" w:rsidP="00283B3B">
      <w:pPr>
        <w:spacing w:line="560" w:lineRule="exact"/>
        <w:ind w:firstLineChars="200" w:firstLine="440"/>
        <w:rPr>
          <w:rFonts w:ascii="华文楷体" w:eastAsia="华文楷体" w:hAnsi="华文楷体"/>
        </w:rPr>
      </w:pPr>
      <w:r w:rsidRPr="00283B3B">
        <w:rPr>
          <w:rFonts w:ascii="华文楷体" w:eastAsia="华文楷体" w:hAnsi="华文楷体"/>
        </w:rPr>
        <w:t>本项目依托于成都市第七人民医院放射科开展，本科室根基专业特性设置神经肌骨组、心胸组及腹盆组，专业组内人才梯队合理，有明确研究方向，为保障医疗工作的正常开展，科室内配备有多台高端影像设备及工作站软件系统，主要包括西门子VIDA3.0T MRI机1台,西门子1.5T MRI机1台，GE1.5T MRI机2台，GE 256排螺旋CT 1台,GE 64排螺旋CT 2台，联影40排螺旋CT 1台，可为本项目的顺利开闸提供实验平台及物力保障。</w:t>
      </w:r>
    </w:p>
    <w:p w14:paraId="6E249AF9" w14:textId="4FC78700" w:rsidR="00283B3B" w:rsidRPr="00283B3B" w:rsidRDefault="00283B3B" w:rsidP="00283B3B">
      <w:pPr>
        <w:spacing w:line="560" w:lineRule="exact"/>
        <w:ind w:firstLineChars="200" w:firstLine="480"/>
        <w:rPr>
          <w:rFonts w:ascii="华文楷体" w:eastAsia="华文楷体" w:hAnsi="华文楷体"/>
        </w:rPr>
      </w:pPr>
      <w:r w:rsidRPr="00283B3B">
        <w:rPr>
          <w:rFonts w:ascii="华文楷体" w:eastAsia="华文楷体" w:hAnsi="华文楷体"/>
          <w:sz w:val="24"/>
          <w:szCs w:val="24"/>
        </w:rPr>
        <w:t>团队成员来自四川大学华西医院放射科，具有精神影像学优势亚专业。作为国际知名的影像学研究团队，华西医院放射科拥有完成该申请项目的相关实验室平台、软硬件设施和人员队伍。华西临床磁共振研究中心拥有影像数据存储管理分析、精神影像临床计算机辅助系统、实验室计算服务器及工作站等软硬件组成的数据分析平台。fMRI实验软硬件配置完善，拥有能够进行包括DTI、VBM、静息模式和生物信息分析技术等的高效能图像分析工作站，在海量医学影像的存储、管理及分析方面能够提供保障。</w:t>
      </w:r>
    </w:p>
    <w:p w14:paraId="68FDB623" w14:textId="0D5A38FF" w:rsidR="00283B3B" w:rsidRDefault="00283B3B">
      <w:pPr>
        <w:spacing w:line="560" w:lineRule="exact"/>
        <w:rPr>
          <w:rFonts w:ascii="华文楷体" w:eastAsia="华文楷体" w:hAnsi="华文楷体"/>
          <w:sz w:val="24"/>
          <w:szCs w:val="24"/>
        </w:rPr>
      </w:pPr>
    </w:p>
    <w:p w14:paraId="049FADCE" w14:textId="77777777" w:rsidR="00283B3B" w:rsidRDefault="00283B3B">
      <w:pPr>
        <w:spacing w:line="560" w:lineRule="exact"/>
        <w:rPr>
          <w:rFonts w:ascii="华文楷体" w:eastAsia="华文楷体" w:hAnsi="华文楷体"/>
          <w:sz w:val="24"/>
          <w:szCs w:val="24"/>
        </w:rPr>
      </w:pPr>
    </w:p>
    <w:p w14:paraId="7C5C8B69" w14:textId="25B3C7DC" w:rsidR="00283B3B" w:rsidRPr="00283B3B" w:rsidRDefault="00283B3B">
      <w:pPr>
        <w:spacing w:line="560" w:lineRule="exact"/>
        <w:rPr>
          <w:rFonts w:ascii="Microsoft JhengHei" w:eastAsia="Microsoft JhengHei" w:cs="Microsoft JhengHei" w:hint="default"/>
          <w:b/>
          <w:sz w:val="30"/>
          <w:szCs w:val="30"/>
        </w:rPr>
        <w:sectPr w:rsidR="00283B3B" w:rsidRPr="00283B3B">
          <w:pgSz w:w="11910" w:h="16840"/>
          <w:pgMar w:top="1440" w:right="1080" w:bottom="1440" w:left="1080" w:header="873" w:footer="874" w:gutter="0"/>
          <w:cols w:space="720"/>
          <w:docGrid w:linePitch="299"/>
        </w:sectPr>
      </w:pPr>
    </w:p>
    <w:p w14:paraId="055D43BE" w14:textId="77777777" w:rsidR="003F29C5" w:rsidRDefault="003F29C5">
      <w:pPr>
        <w:tabs>
          <w:tab w:val="left" w:pos="7828"/>
        </w:tabs>
        <w:rPr>
          <w:rFonts w:hint="default"/>
        </w:rPr>
      </w:pPr>
      <w:bookmarkStart w:id="20" w:name="审批情况"/>
      <w:bookmarkStart w:id="21" w:name="申报人承诺"/>
      <w:bookmarkEnd w:id="20"/>
      <w:bookmarkEnd w:id="21"/>
    </w:p>
    <w:sectPr w:rsidR="003F29C5">
      <w:pgSz w:w="11910" w:h="16840"/>
      <w:pgMar w:top="1440" w:right="1080" w:bottom="1440" w:left="1080" w:header="873" w:footer="874"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anqing Zhang" w:date="2026-05-15T01:55:00Z" w:initials="LZ">
    <w:p w14:paraId="736972F4" w14:textId="77777777" w:rsidR="00333B71" w:rsidRDefault="00333B71" w:rsidP="00333B71">
      <w:pPr>
        <w:pStyle w:val="ae"/>
        <w:rPr>
          <w:rFonts w:hint="default"/>
        </w:rPr>
      </w:pPr>
      <w:r>
        <w:rPr>
          <w:rStyle w:val="ad"/>
          <w:rFonts w:hint="default"/>
        </w:rPr>
        <w:annotationRef/>
      </w:r>
      <w:r>
        <w:t>目前两部分字数超得有点多，明天我会精简到要求的字数</w:t>
      </w:r>
    </w:p>
  </w:comment>
  <w:comment w:id="16" w:author="Lianqing Zhang" w:date="2026-05-15T02:35:00Z" w:initials="LZ">
    <w:p w14:paraId="79A561E2" w14:textId="77777777" w:rsidR="0031555A" w:rsidRDefault="0031555A" w:rsidP="0031555A">
      <w:pPr>
        <w:pStyle w:val="ae"/>
        <w:rPr>
          <w:rFonts w:hint="default"/>
        </w:rPr>
      </w:pPr>
      <w:r>
        <w:rPr>
          <w:rStyle w:val="ad"/>
          <w:rFonts w:hint="default"/>
        </w:rPr>
        <w:annotationRef/>
      </w:r>
      <w:r>
        <w:t>可能要估计一下体量，</w:t>
      </w:r>
      <w:r>
        <w:rPr>
          <w:rFonts w:hint="default"/>
        </w:rPr>
        <w:t>2</w:t>
      </w:r>
      <w:r>
        <w:t>篇够不够</w:t>
      </w:r>
    </w:p>
  </w:comment>
  <w:comment w:id="17" w:author="Lianqing Zhang" w:date="2026-05-15T02:35:00Z" w:initials="LZ">
    <w:p w14:paraId="052C100C" w14:textId="77777777" w:rsidR="0031555A" w:rsidRDefault="0031555A" w:rsidP="0031555A">
      <w:pPr>
        <w:pStyle w:val="ae"/>
        <w:rPr>
          <w:rFonts w:hint="default"/>
        </w:rPr>
      </w:pPr>
      <w:r>
        <w:rPr>
          <w:rStyle w:val="ad"/>
          <w:rFonts w:hint="default"/>
        </w:rPr>
        <w:annotationRef/>
      </w:r>
      <w:r>
        <w:t>这个范老师看情况填。我看指南上有最低要求，参照最低要求看能达到哪些</w:t>
      </w:r>
    </w:p>
  </w:comment>
  <w:comment w:id="19" w:author="Lianqing Zhang" w:date="2026-05-15T02:38:00Z" w:initials="LZ">
    <w:p w14:paraId="6F1A4616" w14:textId="77777777" w:rsidR="004D3533" w:rsidRDefault="004D3533" w:rsidP="004D3533">
      <w:pPr>
        <w:pStyle w:val="ae"/>
        <w:rPr>
          <w:rFonts w:hint="default"/>
        </w:rPr>
      </w:pPr>
      <w:r>
        <w:rPr>
          <w:rStyle w:val="ad"/>
          <w:rFonts w:hint="default"/>
        </w:rPr>
        <w:annotationRef/>
      </w:r>
      <w:r>
        <w:t>这个确定一下整个项目的执行期然后填一下即可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972F4" w15:done="0"/>
  <w15:commentEx w15:paraId="79A561E2" w15:done="0"/>
  <w15:commentEx w15:paraId="052C100C" w15:done="0"/>
  <w15:commentEx w15:paraId="6F1A46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66D531" w16cex:dateUtc="2026-05-14T17:55:00Z"/>
  <w16cex:commentExtensible w16cex:durableId="7162AAF3" w16cex:dateUtc="2026-05-14T18:35:00Z"/>
  <w16cex:commentExtensible w16cex:durableId="37F32AD4" w16cex:dateUtc="2026-05-14T18:35:00Z"/>
  <w16cex:commentExtensible w16cex:durableId="05F64083" w16cex:dateUtc="2026-05-14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972F4" w16cid:durableId="6666D531"/>
  <w16cid:commentId w16cid:paraId="79A561E2" w16cid:durableId="7162AAF3"/>
  <w16cid:commentId w16cid:paraId="052C100C" w16cid:durableId="37F32AD4"/>
  <w16cid:commentId w16cid:paraId="6F1A4616" w16cid:durableId="05F640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E3BFB" w14:textId="77777777" w:rsidR="000D505B" w:rsidRDefault="000D505B">
      <w:pPr>
        <w:rPr>
          <w:rFonts w:hint="default"/>
        </w:rPr>
      </w:pPr>
      <w:r>
        <w:separator/>
      </w:r>
    </w:p>
  </w:endnote>
  <w:endnote w:type="continuationSeparator" w:id="0">
    <w:p w14:paraId="4DA0A979" w14:textId="77777777" w:rsidR="000D505B" w:rsidRDefault="000D505B">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楷体_GB2312">
    <w:altName w:val="微软雅黑"/>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1D80" w14:textId="77777777" w:rsidR="003F29C5" w:rsidRDefault="00000000">
    <w:pPr>
      <w:pStyle w:val="a3"/>
      <w:kinsoku w:val="0"/>
      <w:overflowPunct w:val="0"/>
      <w:spacing w:line="14" w:lineRule="auto"/>
      <w:rPr>
        <w:rFonts w:ascii="Times New Roman" w:eastAsia="等线" w:cs="Times New Roman" w:hint="default"/>
        <w:sz w:val="20"/>
        <w:szCs w:val="20"/>
      </w:rPr>
    </w:pPr>
    <w:r>
      <w:rPr>
        <w:rFonts w:hint="default"/>
        <w:noProof/>
      </w:rPr>
      <mc:AlternateContent>
        <mc:Choice Requires="wps">
          <w:drawing>
            <wp:anchor distT="0" distB="0" distL="114300" distR="114300" simplePos="0" relativeHeight="251657216" behindDoc="1" locked="0" layoutInCell="0" allowOverlap="1" wp14:anchorId="2C4E1983" wp14:editId="4B35766E">
              <wp:simplePos x="0" y="0"/>
              <wp:positionH relativeFrom="page">
                <wp:posOffset>3578860</wp:posOffset>
              </wp:positionH>
              <wp:positionV relativeFrom="page">
                <wp:posOffset>10209530</wp:posOffset>
              </wp:positionV>
              <wp:extent cx="374650" cy="147955"/>
              <wp:effectExtent l="0" t="0" r="0" b="0"/>
              <wp:wrapNone/>
              <wp:docPr id="1" name="文本框 9"/>
              <wp:cNvGraphicFramePr/>
              <a:graphic xmlns:a="http://schemas.openxmlformats.org/drawingml/2006/main">
                <a:graphicData uri="http://schemas.microsoft.com/office/word/2010/wordprocessingShape">
                  <wps:wsp>
                    <wps:cNvSpPr txBox="1"/>
                    <wps:spPr>
                      <a:xfrm>
                        <a:off x="0" y="0"/>
                        <a:ext cx="374650" cy="147955"/>
                      </a:xfrm>
                      <a:prstGeom prst="rect">
                        <a:avLst/>
                      </a:prstGeom>
                      <a:noFill/>
                      <a:ln>
                        <a:noFill/>
                      </a:ln>
                    </wps:spPr>
                    <wps:txbx>
                      <w:txbxContent>
                        <w:p w14:paraId="5D0D2A82" w14:textId="77777777" w:rsidR="003F29C5" w:rsidRDefault="00000000">
                          <w:pPr>
                            <w:pStyle w:val="a3"/>
                            <w:kinsoku w:val="0"/>
                            <w:overflowPunct w:val="0"/>
                            <w:spacing w:before="7" w:line="225" w:lineRule="exact"/>
                            <w:ind w:left="20"/>
                            <w:rPr>
                              <w:rFonts w:hint="default"/>
                              <w:sz w:val="18"/>
                              <w:szCs w:val="18"/>
                            </w:rPr>
                          </w:pP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4</w:t>
                          </w:r>
                          <w:r>
                            <w:rPr>
                              <w:sz w:val="18"/>
                              <w:szCs w:val="18"/>
                            </w:rPr>
                            <w:fldChar w:fldCharType="end"/>
                          </w:r>
                          <w:r>
                            <w:rPr>
                              <w:sz w:val="18"/>
                              <w:szCs w:val="18"/>
                            </w:rPr>
                            <w:t xml:space="preserve">  -</w:t>
                          </w:r>
                        </w:p>
                      </w:txbxContent>
                    </wps:txbx>
                    <wps:bodyPr wrap="square" lIns="0" tIns="0" rIns="0" bIns="0" upright="1"/>
                  </wps:wsp>
                </a:graphicData>
              </a:graphic>
            </wp:anchor>
          </w:drawing>
        </mc:Choice>
        <mc:Fallback>
          <w:pict>
            <v:shapetype w14:anchorId="2C4E1983" id="_x0000_t202" coordsize="21600,21600" o:spt="202" path="m,l,21600r21600,l21600,xe">
              <v:stroke joinstyle="miter"/>
              <v:path gradientshapeok="t" o:connecttype="rect"/>
            </v:shapetype>
            <v:shape id="文本框 9" o:spid="_x0000_s1026" type="#_x0000_t202" style="position:absolute;margin-left:281.8pt;margin-top:803.9pt;width:29.5pt;height:11.6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" o:allowincell="f" filled="f" stroked="f">
              <v:textbox inset="0,0,0,0">
                <w:txbxContent>
                  <w:p w14:paraId="5D0D2A82" w14:textId="77777777" w:rsidR="003F29C5" w:rsidRDefault="00000000">
                    <w:pPr>
                      <w:pStyle w:val="a3"/>
                      <w:kinsoku w:val="0"/>
                      <w:overflowPunct w:val="0"/>
                      <w:spacing w:before="7" w:line="225" w:lineRule="exact"/>
                      <w:ind w:left="20"/>
                      <w:rPr>
                        <w:rFonts w:hint="default"/>
                        <w:sz w:val="18"/>
                        <w:szCs w:val="18"/>
                      </w:rPr>
                    </w:pP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4</w:t>
                    </w:r>
                    <w:r>
                      <w:rPr>
                        <w:sz w:val="18"/>
                        <w:szCs w:val="18"/>
                      </w:rPr>
                      <w:fldChar w:fldCharType="end"/>
                    </w:r>
                    <w:r>
                      <w:rPr>
                        <w:sz w:val="18"/>
                        <w:szCs w:val="18"/>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F5282" w14:textId="77777777" w:rsidR="000D505B" w:rsidRDefault="000D505B">
      <w:pPr>
        <w:rPr>
          <w:rFonts w:hint="default"/>
        </w:rPr>
      </w:pPr>
      <w:r>
        <w:separator/>
      </w:r>
    </w:p>
  </w:footnote>
  <w:footnote w:type="continuationSeparator" w:id="0">
    <w:p w14:paraId="23A2DFF6" w14:textId="77777777" w:rsidR="000D505B" w:rsidRDefault="000D505B">
      <w:pPr>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0D7D" w14:textId="77777777" w:rsidR="003F29C5" w:rsidRDefault="00000000">
    <w:pPr>
      <w:pStyle w:val="a7"/>
      <w:rPr>
        <w:rFonts w:hint="default"/>
      </w:rPr>
    </w:pPr>
    <w:r>
      <w:rPr>
        <w:rFonts w:hint="default"/>
      </w:rPr>
      <w:pict w14:anchorId="1650E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51.75pt;margin-top:324.45pt;width:384pt;height:48pt;rotation:315;z-index:-251658240;mso-position-horizontal-relative:margin;mso-position-vertical-relative:margin;mso-width-relative:page;mso-height-relative:page" o:allowincell="f" fillcolor="#b4c6e7" stroked="f">
          <v:fill opacity=".5"/>
          <v:textpath style="font-family:&quot;楷体_GB2312&quot;;font-size:48pt" fitpath="t" string="委校联合创新基金"/>
          <w10:wrap anchorx="margin" anchory="margin"/>
        </v:shape>
      </w:pict>
    </w:r>
    <w:r>
      <w:t>委校联合创新基金项目申请书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BC6"/>
    <w:multiLevelType w:val="multilevel"/>
    <w:tmpl w:val="58B8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35637"/>
    <w:multiLevelType w:val="multilevel"/>
    <w:tmpl w:val="7DD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669A2"/>
    <w:multiLevelType w:val="multilevel"/>
    <w:tmpl w:val="8F6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27C22"/>
    <w:multiLevelType w:val="multilevel"/>
    <w:tmpl w:val="CAE6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17EF8"/>
    <w:multiLevelType w:val="multilevel"/>
    <w:tmpl w:val="801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54B3A"/>
    <w:multiLevelType w:val="hybridMultilevel"/>
    <w:tmpl w:val="0DA27FA4"/>
    <w:lvl w:ilvl="0" w:tplc="831C4762">
      <w:start w:val="1"/>
      <w:numFmt w:val="decimal"/>
      <w:lvlText w:val="%1."/>
      <w:lvlJc w:val="left"/>
      <w:pPr>
        <w:ind w:left="820" w:hanging="360"/>
      </w:pPr>
      <w:rPr>
        <w:rFonts w:hint="default"/>
      </w:rPr>
    </w:lvl>
    <w:lvl w:ilvl="1" w:tplc="04090019" w:tentative="1">
      <w:start w:val="1"/>
      <w:numFmt w:val="lowerLetter"/>
      <w:lvlText w:val="%2)"/>
      <w:lvlJc w:val="left"/>
      <w:pPr>
        <w:ind w:left="1340" w:hanging="440"/>
      </w:pPr>
    </w:lvl>
    <w:lvl w:ilvl="2" w:tplc="0409001B" w:tentative="1">
      <w:start w:val="1"/>
      <w:numFmt w:val="lowerRoman"/>
      <w:lvlText w:val="%3."/>
      <w:lvlJc w:val="right"/>
      <w:pPr>
        <w:ind w:left="1780" w:hanging="440"/>
      </w:pPr>
    </w:lvl>
    <w:lvl w:ilvl="3" w:tplc="0409000F" w:tentative="1">
      <w:start w:val="1"/>
      <w:numFmt w:val="decimal"/>
      <w:lvlText w:val="%4."/>
      <w:lvlJc w:val="left"/>
      <w:pPr>
        <w:ind w:left="2220" w:hanging="440"/>
      </w:pPr>
    </w:lvl>
    <w:lvl w:ilvl="4" w:tplc="04090019" w:tentative="1">
      <w:start w:val="1"/>
      <w:numFmt w:val="lowerLetter"/>
      <w:lvlText w:val="%5)"/>
      <w:lvlJc w:val="left"/>
      <w:pPr>
        <w:ind w:left="2660" w:hanging="440"/>
      </w:pPr>
    </w:lvl>
    <w:lvl w:ilvl="5" w:tplc="0409001B" w:tentative="1">
      <w:start w:val="1"/>
      <w:numFmt w:val="lowerRoman"/>
      <w:lvlText w:val="%6."/>
      <w:lvlJc w:val="right"/>
      <w:pPr>
        <w:ind w:left="3100" w:hanging="440"/>
      </w:pPr>
    </w:lvl>
    <w:lvl w:ilvl="6" w:tplc="0409000F" w:tentative="1">
      <w:start w:val="1"/>
      <w:numFmt w:val="decimal"/>
      <w:lvlText w:val="%7."/>
      <w:lvlJc w:val="left"/>
      <w:pPr>
        <w:ind w:left="3540" w:hanging="440"/>
      </w:pPr>
    </w:lvl>
    <w:lvl w:ilvl="7" w:tplc="04090019" w:tentative="1">
      <w:start w:val="1"/>
      <w:numFmt w:val="lowerLetter"/>
      <w:lvlText w:val="%8)"/>
      <w:lvlJc w:val="left"/>
      <w:pPr>
        <w:ind w:left="3980" w:hanging="440"/>
      </w:pPr>
    </w:lvl>
    <w:lvl w:ilvl="8" w:tplc="0409001B" w:tentative="1">
      <w:start w:val="1"/>
      <w:numFmt w:val="lowerRoman"/>
      <w:lvlText w:val="%9."/>
      <w:lvlJc w:val="right"/>
      <w:pPr>
        <w:ind w:left="4420" w:hanging="440"/>
      </w:pPr>
    </w:lvl>
  </w:abstractNum>
  <w:abstractNum w:abstractNumId="6" w15:restartNumberingAfterBreak="0">
    <w:nsid w:val="47704565"/>
    <w:multiLevelType w:val="multilevel"/>
    <w:tmpl w:val="E2A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07C2F"/>
    <w:multiLevelType w:val="multilevel"/>
    <w:tmpl w:val="ED10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7449B"/>
    <w:multiLevelType w:val="hybridMultilevel"/>
    <w:tmpl w:val="86F4A854"/>
    <w:lvl w:ilvl="0" w:tplc="2C2624C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3A17003"/>
    <w:multiLevelType w:val="multilevel"/>
    <w:tmpl w:val="D74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02D67"/>
    <w:multiLevelType w:val="multilevel"/>
    <w:tmpl w:val="03F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62EE9"/>
    <w:multiLevelType w:val="multilevel"/>
    <w:tmpl w:val="D2E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163244">
    <w:abstractNumId w:val="4"/>
  </w:num>
  <w:num w:numId="2" w16cid:durableId="1562520360">
    <w:abstractNumId w:val="9"/>
  </w:num>
  <w:num w:numId="3" w16cid:durableId="292322973">
    <w:abstractNumId w:val="10"/>
  </w:num>
  <w:num w:numId="4" w16cid:durableId="1552883050">
    <w:abstractNumId w:val="7"/>
  </w:num>
  <w:num w:numId="5" w16cid:durableId="424494077">
    <w:abstractNumId w:val="2"/>
  </w:num>
  <w:num w:numId="6" w16cid:durableId="1955599660">
    <w:abstractNumId w:val="11"/>
  </w:num>
  <w:num w:numId="7" w16cid:durableId="319388757">
    <w:abstractNumId w:val="8"/>
  </w:num>
  <w:num w:numId="8" w16cid:durableId="1076635124">
    <w:abstractNumId w:val="3"/>
  </w:num>
  <w:num w:numId="9" w16cid:durableId="1111628798">
    <w:abstractNumId w:val="6"/>
  </w:num>
  <w:num w:numId="10" w16cid:durableId="1102260653">
    <w:abstractNumId w:val="0"/>
  </w:num>
  <w:num w:numId="11" w16cid:durableId="2110928714">
    <w:abstractNumId w:val="5"/>
  </w:num>
  <w:num w:numId="12" w16cid:durableId="14792997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nqing Zhang">
    <w15:presenceInfo w15:providerId="Windows Live" w15:userId="7654711e5ab3e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rawingGridHorizontalOrigin w:val="1800"/>
  <w:drawingGridVerticalOrigin w:val="1440"/>
  <w:doNotShadeFormData/>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ljYjNmMTA3MzEyYWJmN2QxZWE0YjMzMTM4ZDZiMmEifQ=="/>
  </w:docVars>
  <w:rsids>
    <w:rsidRoot w:val="00172A27"/>
    <w:rsid w:val="00030FA2"/>
    <w:rsid w:val="00050749"/>
    <w:rsid w:val="000B072C"/>
    <w:rsid w:val="000D4C48"/>
    <w:rsid w:val="000D505B"/>
    <w:rsid w:val="00111F34"/>
    <w:rsid w:val="00170C8A"/>
    <w:rsid w:val="00172A27"/>
    <w:rsid w:val="001F3477"/>
    <w:rsid w:val="00262D19"/>
    <w:rsid w:val="00283B3B"/>
    <w:rsid w:val="00295589"/>
    <w:rsid w:val="0031555A"/>
    <w:rsid w:val="00330D0F"/>
    <w:rsid w:val="00333B71"/>
    <w:rsid w:val="003458C5"/>
    <w:rsid w:val="003F29C5"/>
    <w:rsid w:val="004D3533"/>
    <w:rsid w:val="004F20FF"/>
    <w:rsid w:val="0058669D"/>
    <w:rsid w:val="005A4FE5"/>
    <w:rsid w:val="005D5F0C"/>
    <w:rsid w:val="005E24FC"/>
    <w:rsid w:val="006126CD"/>
    <w:rsid w:val="00645CD5"/>
    <w:rsid w:val="006A79CC"/>
    <w:rsid w:val="00775739"/>
    <w:rsid w:val="00852D99"/>
    <w:rsid w:val="00A30FA0"/>
    <w:rsid w:val="00A72A32"/>
    <w:rsid w:val="00AB4A57"/>
    <w:rsid w:val="00B32292"/>
    <w:rsid w:val="00CC0624"/>
    <w:rsid w:val="00CF22E9"/>
    <w:rsid w:val="00D457BE"/>
    <w:rsid w:val="00D57367"/>
    <w:rsid w:val="00DE16D3"/>
    <w:rsid w:val="00F11984"/>
    <w:rsid w:val="00FB3926"/>
    <w:rsid w:val="06260013"/>
    <w:rsid w:val="0E6F290E"/>
    <w:rsid w:val="25522F29"/>
    <w:rsid w:val="2AAA44AB"/>
    <w:rsid w:val="2C846441"/>
    <w:rsid w:val="33C41C1D"/>
    <w:rsid w:val="43932220"/>
    <w:rsid w:val="46773234"/>
    <w:rsid w:val="64580110"/>
    <w:rsid w:val="725C6779"/>
    <w:rsid w:val="7E7B6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7941D"/>
  <w15:docId w15:val="{9E2E4DF0-E102-4A6A-AEE2-135A1943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unhideWhenUsed="1" w:qFormat="1"/>
    <w:lsdException w:name="heading 1" w:uiPriority="1" w:unhideWhenUsed="1" w:qFormat="1"/>
    <w:lsdException w:name="heading 2" w:uiPriority="1" w:unhideWhenUsed="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unhideWhenUsed="1" w:qFormat="1"/>
    <w:lsdException w:name="footer" w:unhideWhenUsed="1" w:qFormat="1"/>
    <w:lsdException w:name="index heading" w:qFormat="1"/>
    <w:lsdException w:name="caption" w:uiPriority="35"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lsdException w:name="Body Text" w:uiPriority="1"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0" w:qFormat="1"/>
    <w:lsdException w:name="FollowedHyperlink" w:qFormat="1"/>
    <w:lsdException w:name="Strong" w:uiPriority="22"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uiPriority="39" w:qFormat="1"/>
    <w:lsdException w:name="Table Theme" w:semiHidden="1"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unhideWhenUsed/>
    <w:qFormat/>
    <w:pPr>
      <w:widowControl w:val="0"/>
      <w:autoSpaceDE w:val="0"/>
      <w:autoSpaceDN w:val="0"/>
      <w:adjustRightInd w:val="0"/>
    </w:pPr>
    <w:rPr>
      <w:rFonts w:ascii="宋体" w:cs="宋体" w:hint="eastAsia"/>
      <w:sz w:val="22"/>
      <w:szCs w:val="22"/>
    </w:rPr>
  </w:style>
  <w:style w:type="paragraph" w:styleId="1">
    <w:name w:val="heading 1"/>
    <w:basedOn w:val="a"/>
    <w:next w:val="a"/>
    <w:link w:val="10"/>
    <w:uiPriority w:val="1"/>
    <w:unhideWhenUsed/>
    <w:qFormat/>
    <w:pPr>
      <w:spacing w:before="78"/>
      <w:ind w:left="103"/>
      <w:outlineLvl w:val="0"/>
    </w:pPr>
    <w:rPr>
      <w:rFonts w:ascii="Microsoft JhengHei" w:eastAsia="Microsoft JhengHei" w:cs="Microsoft JhengHei"/>
      <w:b/>
      <w:sz w:val="30"/>
      <w:szCs w:val="30"/>
    </w:rPr>
  </w:style>
  <w:style w:type="paragraph" w:styleId="2">
    <w:name w:val="heading 2"/>
    <w:basedOn w:val="a"/>
    <w:next w:val="a"/>
    <w:link w:val="20"/>
    <w:uiPriority w:val="1"/>
    <w:unhideWhenUsed/>
    <w:qFormat/>
    <w:pPr>
      <w:spacing w:before="137"/>
      <w:ind w:left="274"/>
      <w:outlineLvl w:val="1"/>
    </w:pPr>
    <w:rPr>
      <w:sz w:val="28"/>
      <w:szCs w:val="28"/>
    </w:rPr>
  </w:style>
  <w:style w:type="paragraph" w:styleId="3">
    <w:name w:val="heading 3"/>
    <w:basedOn w:val="a"/>
    <w:next w:val="a"/>
    <w:link w:val="30"/>
    <w:uiPriority w:val="9"/>
    <w:qFormat/>
    <w:rsid w:val="00333B71"/>
    <w:pPr>
      <w:keepNext/>
      <w:keepLines/>
      <w:spacing w:before="260" w:after="260" w:line="416" w:lineRule="auto"/>
      <w:outlineLvl w:val="2"/>
    </w:pPr>
    <w:rPr>
      <w:b/>
      <w:bCs/>
      <w:sz w:val="32"/>
      <w:szCs w:val="32"/>
    </w:rPr>
  </w:style>
  <w:style w:type="paragraph" w:styleId="4">
    <w:name w:val="heading 4"/>
    <w:basedOn w:val="a"/>
    <w:next w:val="a"/>
    <w:link w:val="40"/>
    <w:uiPriority w:val="9"/>
    <w:qFormat/>
    <w:rsid w:val="00333B7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Pr>
      <w:sz w:val="24"/>
      <w:szCs w:val="24"/>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TableParagraph">
    <w:name w:val="Table Paragraph"/>
    <w:basedOn w:val="a"/>
    <w:uiPriority w:val="1"/>
    <w:unhideWhenUsed/>
    <w:qFormat/>
    <w:rPr>
      <w:sz w:val="24"/>
      <w:szCs w:val="24"/>
    </w:rPr>
  </w:style>
  <w:style w:type="paragraph" w:styleId="a9">
    <w:name w:val="List Paragraph"/>
    <w:basedOn w:val="a"/>
    <w:uiPriority w:val="1"/>
    <w:unhideWhenUsed/>
    <w:qFormat/>
    <w:pPr>
      <w:ind w:left="1954" w:hanging="605"/>
    </w:pPr>
    <w:rPr>
      <w:rFonts w:ascii="Times New Roman" w:eastAsia="等线" w:cs="Times New Roman"/>
      <w:sz w:val="24"/>
      <w:szCs w:val="24"/>
    </w:rPr>
  </w:style>
  <w:style w:type="character" w:customStyle="1" w:styleId="13">
    <w:name w:val="正文文本 字符13"/>
    <w:basedOn w:val="a0"/>
    <w:uiPriority w:val="99"/>
    <w:unhideWhenUsed/>
    <w:qFormat/>
    <w:rPr>
      <w:rFonts w:ascii="宋体" w:eastAsia="宋体" w:hAnsi="Times New Roman" w:cs="宋体" w:hint="eastAsia"/>
      <w:sz w:val="22"/>
      <w:szCs w:val="22"/>
    </w:rPr>
  </w:style>
  <w:style w:type="character" w:customStyle="1" w:styleId="11">
    <w:name w:val="正文文本 字符1"/>
    <w:basedOn w:val="a0"/>
    <w:uiPriority w:val="99"/>
    <w:unhideWhenUsed/>
    <w:qFormat/>
    <w:rPr>
      <w:rFonts w:ascii="宋体" w:eastAsia="宋体" w:hAnsi="Times New Roman" w:cs="宋体" w:hint="eastAsia"/>
      <w:sz w:val="22"/>
      <w:szCs w:val="22"/>
    </w:rPr>
  </w:style>
  <w:style w:type="character" w:customStyle="1" w:styleId="a6">
    <w:name w:val="页脚 字符"/>
    <w:basedOn w:val="a0"/>
    <w:link w:val="a5"/>
    <w:uiPriority w:val="99"/>
    <w:unhideWhenUsed/>
    <w:qFormat/>
    <w:locked/>
    <w:rPr>
      <w:rFonts w:ascii="宋体" w:eastAsia="宋体" w:hAnsi="Times New Roman" w:cs="Times New Roman" w:hint="eastAsia"/>
      <w:sz w:val="18"/>
      <w:szCs w:val="24"/>
    </w:rPr>
  </w:style>
  <w:style w:type="character" w:customStyle="1" w:styleId="12">
    <w:name w:val="页眉 字符12"/>
    <w:basedOn w:val="a0"/>
    <w:uiPriority w:val="99"/>
    <w:unhideWhenUsed/>
    <w:qFormat/>
    <w:rPr>
      <w:rFonts w:ascii="宋体" w:eastAsia="宋体" w:hAnsi="Times New Roman" w:cs="宋体" w:hint="eastAsia"/>
      <w:sz w:val="18"/>
      <w:szCs w:val="18"/>
    </w:rPr>
  </w:style>
  <w:style w:type="character" w:customStyle="1" w:styleId="130">
    <w:name w:val="页脚 字符13"/>
    <w:basedOn w:val="a0"/>
    <w:uiPriority w:val="99"/>
    <w:unhideWhenUsed/>
    <w:qFormat/>
    <w:rPr>
      <w:rFonts w:ascii="宋体" w:eastAsia="宋体" w:hAnsi="Times New Roman" w:cs="宋体" w:hint="eastAsia"/>
      <w:sz w:val="18"/>
      <w:szCs w:val="18"/>
    </w:rPr>
  </w:style>
  <w:style w:type="character" w:customStyle="1" w:styleId="14">
    <w:name w:val="页眉 字符1"/>
    <w:basedOn w:val="a0"/>
    <w:uiPriority w:val="99"/>
    <w:unhideWhenUsed/>
    <w:qFormat/>
    <w:rPr>
      <w:rFonts w:ascii="宋体" w:eastAsia="宋体" w:hAnsi="Times New Roman" w:cs="宋体" w:hint="eastAsia"/>
      <w:sz w:val="18"/>
      <w:szCs w:val="18"/>
    </w:rPr>
  </w:style>
  <w:style w:type="character" w:customStyle="1" w:styleId="110">
    <w:name w:val="正文文本 字符11"/>
    <w:basedOn w:val="a0"/>
    <w:uiPriority w:val="99"/>
    <w:unhideWhenUsed/>
    <w:qFormat/>
    <w:rPr>
      <w:rFonts w:ascii="宋体" w:eastAsia="宋体" w:hAnsi="Times New Roman" w:cs="宋体" w:hint="eastAsia"/>
      <w:sz w:val="22"/>
      <w:szCs w:val="24"/>
    </w:rPr>
  </w:style>
  <w:style w:type="character" w:customStyle="1" w:styleId="10">
    <w:name w:val="标题 1 字符"/>
    <w:basedOn w:val="a0"/>
    <w:link w:val="1"/>
    <w:uiPriority w:val="9"/>
    <w:unhideWhenUsed/>
    <w:qFormat/>
    <w:locked/>
    <w:rPr>
      <w:rFonts w:ascii="宋体" w:eastAsia="宋体" w:hAnsi="Times New Roman" w:cs="Times New Roman" w:hint="eastAsia"/>
      <w:b/>
      <w:kern w:val="44"/>
      <w:sz w:val="44"/>
      <w:szCs w:val="24"/>
    </w:rPr>
  </w:style>
  <w:style w:type="character" w:customStyle="1" w:styleId="20">
    <w:name w:val="标题 2 字符"/>
    <w:basedOn w:val="a0"/>
    <w:link w:val="2"/>
    <w:uiPriority w:val="9"/>
    <w:unhideWhenUsed/>
    <w:qFormat/>
    <w:locked/>
    <w:rPr>
      <w:rFonts w:ascii="等线 Light" w:eastAsia="等线 Light" w:hAnsi="等线 Light" w:cs="Times New Roman" w:hint="eastAsia"/>
      <w:b/>
      <w:sz w:val="32"/>
      <w:szCs w:val="24"/>
    </w:rPr>
  </w:style>
  <w:style w:type="character" w:customStyle="1" w:styleId="a4">
    <w:name w:val="正文文本 字符"/>
    <w:basedOn w:val="a0"/>
    <w:link w:val="a3"/>
    <w:uiPriority w:val="99"/>
    <w:unhideWhenUsed/>
    <w:qFormat/>
    <w:locked/>
    <w:rPr>
      <w:rFonts w:ascii="宋体" w:eastAsia="宋体" w:hAnsi="Times New Roman" w:cs="Times New Roman" w:hint="eastAsia"/>
      <w:sz w:val="22"/>
      <w:szCs w:val="24"/>
    </w:rPr>
  </w:style>
  <w:style w:type="character" w:customStyle="1" w:styleId="15">
    <w:name w:val="页脚 字符1"/>
    <w:basedOn w:val="a0"/>
    <w:uiPriority w:val="99"/>
    <w:unhideWhenUsed/>
    <w:qFormat/>
    <w:rPr>
      <w:rFonts w:ascii="宋体" w:eastAsia="宋体" w:hAnsi="Times New Roman" w:cs="宋体" w:hint="eastAsia"/>
      <w:sz w:val="18"/>
      <w:szCs w:val="18"/>
    </w:rPr>
  </w:style>
  <w:style w:type="character" w:customStyle="1" w:styleId="a8">
    <w:name w:val="页眉 字符"/>
    <w:basedOn w:val="a0"/>
    <w:link w:val="a7"/>
    <w:uiPriority w:val="99"/>
    <w:unhideWhenUsed/>
    <w:qFormat/>
    <w:locked/>
    <w:rPr>
      <w:rFonts w:ascii="宋体" w:eastAsia="宋体" w:hAnsi="Times New Roman" w:cs="Times New Roman" w:hint="eastAsia"/>
      <w:sz w:val="18"/>
      <w:szCs w:val="24"/>
    </w:rPr>
  </w:style>
  <w:style w:type="character" w:customStyle="1" w:styleId="120">
    <w:name w:val="正文文本 字符12"/>
    <w:basedOn w:val="a0"/>
    <w:uiPriority w:val="99"/>
    <w:unhideWhenUsed/>
    <w:qFormat/>
    <w:rPr>
      <w:rFonts w:ascii="宋体" w:eastAsia="宋体" w:hAnsi="Times New Roman" w:cs="宋体" w:hint="eastAsia"/>
      <w:sz w:val="22"/>
      <w:szCs w:val="22"/>
    </w:rPr>
  </w:style>
  <w:style w:type="character" w:customStyle="1" w:styleId="131">
    <w:name w:val="页眉 字符13"/>
    <w:basedOn w:val="a0"/>
    <w:uiPriority w:val="99"/>
    <w:unhideWhenUsed/>
    <w:qFormat/>
    <w:rPr>
      <w:rFonts w:ascii="宋体" w:eastAsia="宋体" w:hAnsi="Times New Roman" w:cs="宋体" w:hint="eastAsia"/>
      <w:sz w:val="18"/>
      <w:szCs w:val="18"/>
    </w:rPr>
  </w:style>
  <w:style w:type="character" w:customStyle="1" w:styleId="111">
    <w:name w:val="页眉 字符11"/>
    <w:basedOn w:val="a0"/>
    <w:uiPriority w:val="99"/>
    <w:unhideWhenUsed/>
    <w:qFormat/>
    <w:rPr>
      <w:rFonts w:ascii="宋体" w:eastAsia="宋体" w:hAnsi="Times New Roman" w:cs="宋体" w:hint="eastAsia"/>
      <w:sz w:val="18"/>
      <w:szCs w:val="18"/>
    </w:rPr>
  </w:style>
  <w:style w:type="character" w:customStyle="1" w:styleId="121">
    <w:name w:val="页脚 字符12"/>
    <w:basedOn w:val="a0"/>
    <w:uiPriority w:val="99"/>
    <w:unhideWhenUsed/>
    <w:qFormat/>
    <w:rPr>
      <w:rFonts w:ascii="宋体" w:eastAsia="宋体" w:hAnsi="Times New Roman" w:cs="宋体" w:hint="eastAsia"/>
      <w:sz w:val="18"/>
      <w:szCs w:val="18"/>
    </w:rPr>
  </w:style>
  <w:style w:type="character" w:customStyle="1" w:styleId="112">
    <w:name w:val="页脚 字符11"/>
    <w:basedOn w:val="a0"/>
    <w:uiPriority w:val="99"/>
    <w:unhideWhenUsed/>
    <w:qFormat/>
    <w:rPr>
      <w:rFonts w:ascii="宋体" w:eastAsia="宋体" w:hAnsi="Times New Roman" w:cs="宋体" w:hint="eastAsia"/>
      <w:sz w:val="18"/>
      <w:szCs w:val="18"/>
    </w:rPr>
  </w:style>
  <w:style w:type="paragraph" w:customStyle="1" w:styleId="16">
    <w:name w:val="修订1"/>
    <w:hidden/>
    <w:uiPriority w:val="99"/>
    <w:unhideWhenUsed/>
    <w:qFormat/>
    <w:rPr>
      <w:rFonts w:ascii="宋体" w:cs="宋体" w:hint="eastAsia"/>
      <w:sz w:val="22"/>
      <w:szCs w:val="22"/>
    </w:rPr>
  </w:style>
  <w:style w:type="paragraph" w:customStyle="1" w:styleId="FirstParagraph">
    <w:name w:val="First Paragraph"/>
    <w:basedOn w:val="a3"/>
    <w:next w:val="a3"/>
    <w:qFormat/>
    <w:rsid w:val="00333B71"/>
    <w:pPr>
      <w:widowControl/>
      <w:autoSpaceDE/>
      <w:autoSpaceDN/>
      <w:adjustRightInd/>
      <w:spacing w:before="180" w:after="180"/>
    </w:pPr>
    <w:rPr>
      <w:rFonts w:ascii="华文楷体" w:eastAsia="华文楷体" w:hAnsi="华文楷体" w:cs="华文楷体" w:hint="default"/>
    </w:rPr>
  </w:style>
  <w:style w:type="paragraph" w:styleId="aa">
    <w:name w:val="Bibliography"/>
    <w:basedOn w:val="a"/>
    <w:qFormat/>
    <w:rsid w:val="00333B71"/>
    <w:pPr>
      <w:widowControl/>
      <w:autoSpaceDE/>
      <w:autoSpaceDN/>
      <w:adjustRightInd/>
      <w:spacing w:after="200"/>
    </w:pPr>
    <w:rPr>
      <w:rFonts w:ascii="华文楷体" w:eastAsia="华文楷体" w:hAnsi="华文楷体" w:cs="华文楷体" w:hint="default"/>
      <w:sz w:val="24"/>
      <w:szCs w:val="24"/>
    </w:rPr>
  </w:style>
  <w:style w:type="character" w:styleId="ab">
    <w:name w:val="Hyperlink"/>
    <w:basedOn w:val="a0"/>
    <w:rsid w:val="00333B71"/>
    <w:rPr>
      <w:color w:val="4F81BD" w:themeColor="accent1"/>
    </w:rPr>
  </w:style>
  <w:style w:type="character" w:customStyle="1" w:styleId="30">
    <w:name w:val="标题 3 字符"/>
    <w:basedOn w:val="a0"/>
    <w:link w:val="3"/>
    <w:uiPriority w:val="9"/>
    <w:rsid w:val="00333B71"/>
    <w:rPr>
      <w:rFonts w:ascii="宋体" w:cs="宋体"/>
      <w:b/>
      <w:bCs/>
      <w:sz w:val="32"/>
      <w:szCs w:val="32"/>
    </w:rPr>
  </w:style>
  <w:style w:type="character" w:customStyle="1" w:styleId="40">
    <w:name w:val="标题 4 字符"/>
    <w:basedOn w:val="a0"/>
    <w:link w:val="4"/>
    <w:uiPriority w:val="9"/>
    <w:rsid w:val="00333B71"/>
    <w:rPr>
      <w:rFonts w:asciiTheme="majorHAnsi" w:eastAsiaTheme="majorEastAsia" w:hAnsiTheme="majorHAnsi" w:cstheme="majorBidi"/>
      <w:b/>
      <w:bCs/>
      <w:sz w:val="28"/>
      <w:szCs w:val="28"/>
    </w:rPr>
  </w:style>
  <w:style w:type="paragraph" w:styleId="ac">
    <w:name w:val="Revision"/>
    <w:hidden/>
    <w:uiPriority w:val="99"/>
    <w:unhideWhenUsed/>
    <w:rsid w:val="00333B71"/>
    <w:rPr>
      <w:rFonts w:ascii="宋体" w:cs="宋体" w:hint="eastAsia"/>
      <w:sz w:val="22"/>
      <w:szCs w:val="22"/>
    </w:rPr>
  </w:style>
  <w:style w:type="character" w:styleId="ad">
    <w:name w:val="annotation reference"/>
    <w:basedOn w:val="a0"/>
    <w:uiPriority w:val="99"/>
    <w:qFormat/>
    <w:rsid w:val="00333B71"/>
    <w:rPr>
      <w:sz w:val="21"/>
      <w:szCs w:val="21"/>
    </w:rPr>
  </w:style>
  <w:style w:type="paragraph" w:styleId="ae">
    <w:name w:val="annotation text"/>
    <w:basedOn w:val="a"/>
    <w:link w:val="af"/>
    <w:uiPriority w:val="99"/>
    <w:qFormat/>
    <w:rsid w:val="00333B71"/>
  </w:style>
  <w:style w:type="character" w:customStyle="1" w:styleId="af">
    <w:name w:val="批注文字 字符"/>
    <w:basedOn w:val="a0"/>
    <w:link w:val="ae"/>
    <w:uiPriority w:val="99"/>
    <w:rsid w:val="00333B71"/>
    <w:rPr>
      <w:rFonts w:ascii="宋体" w:cs="宋体"/>
      <w:sz w:val="22"/>
      <w:szCs w:val="22"/>
    </w:rPr>
  </w:style>
  <w:style w:type="paragraph" w:styleId="af0">
    <w:name w:val="annotation subject"/>
    <w:basedOn w:val="ae"/>
    <w:next w:val="ae"/>
    <w:link w:val="af1"/>
    <w:uiPriority w:val="99"/>
    <w:qFormat/>
    <w:rsid w:val="00333B71"/>
    <w:rPr>
      <w:b/>
      <w:bCs/>
    </w:rPr>
  </w:style>
  <w:style w:type="character" w:customStyle="1" w:styleId="af1">
    <w:name w:val="批注主题 字符"/>
    <w:basedOn w:val="af"/>
    <w:link w:val="af0"/>
    <w:uiPriority w:val="99"/>
    <w:rsid w:val="00333B71"/>
    <w:rPr>
      <w:rFonts w:ascii="宋体" w:cs="宋体"/>
      <w:b/>
      <w:bCs/>
      <w:sz w:val="22"/>
      <w:szCs w:val="22"/>
    </w:rPr>
  </w:style>
  <w:style w:type="paragraph" w:styleId="af2">
    <w:name w:val="Normal (Web)"/>
    <w:basedOn w:val="a"/>
    <w:uiPriority w:val="99"/>
    <w:qFormat/>
    <w:rsid w:val="00283B3B"/>
    <w:rPr>
      <w:rFonts w:asci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4354</Words>
  <Characters>5705</Characters>
  <Application>Microsoft Office Word</Application>
  <DocSecurity>0</DocSecurity>
  <Lines>178</Lines>
  <Paragraphs>89</Paragraphs>
  <ScaleCrop>false</ScaleCrop>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H3C</dc:creator>
  <cp:lastModifiedBy>Lianqing Zhang</cp:lastModifiedBy>
  <cp:revision>4</cp:revision>
  <dcterms:created xsi:type="dcterms:W3CDTF">2026-05-14T18:38:00Z</dcterms:created>
  <dcterms:modified xsi:type="dcterms:W3CDTF">2026-05-15T07:54:00Z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BCA3F646339C4D879932BA49D669BB7D_13</vt:lpwstr>
  </property>
  <property fmtid="{D5CDD505-2E9C-101B-9397-08002B2CF9AE}" pid="4" name="KSOTemplateDocerSaveRecord">
    <vt:lpwstr>eyJoZGlkIjoiNTI2Y2FmNGYzMmY5ZGRhNzhhYWUwNjFhNDJhOTBlNzQiLCJ1c2VySWQiOiI4NjIxNjYyMjgifQ==</vt:lpwstr>
  </property>
  <property fmtid="{D5CDD505-2E9C-101B-9397-08002B2CF9AE}" pid="5" name="GrammarlyDocumentId">
    <vt:lpwstr>d5f724aa-e9e3-4ae4-8844-86bcd1be49aa</vt:lpwstr>
  </property>
</Properties>
</file>