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63500</wp:posOffset>
            </wp:positionH>
            <wp:positionV relativeFrom="paragraph">
              <wp:posOffset>12700</wp:posOffset>
            </wp:positionV>
            <wp:extent cy="12700" cx="1739900"/>
            <wp:effectExtent b="0" r="0" t="0" l="0"/>
            <wp:wrapTopAndBottom/>
            <wp:docPr name="header_line_image1.jpeg" id="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jpeg" id="1"/>
                    <pic:cNvPicPr/>
                  </pic:nvPicPr>
                  <pic:blipFill>
                    <a:blip r:embed="rId5"/>
                    <a:stretch>
                      <a:fillRect/>
                    </a:stretch>
                  </pic:blipFill>
                  <pic:spPr>
                    <a:xfrm>
                      <a:off y="0" x="0"/>
                      <a:ext cy="12700" cx="1739900"/>
                    </a:xfrm>
                    <a:prstGeom prst="rect">
                      <a:avLst/>
                    </a:prstGeom>
                  </pic:spPr>
                </pic:pic>
              </a:graphicData>
            </a:graphic>
            <wp14:sizeRelH relativeFrom="margin">
              <wp14:pctWidth>0</wp14:pctWidth>
            </wp14:sizeRelH>
            <wp14:sizeRelV relativeFrom="margin">
              <wp14:pctHeight>0</wp14:pctHeight>
            </wp14:sizeRelV>
          </wp:anchor>
        </w:drawing>
      </w:r>
    </w:p>
    <w:p>
      <w:pPr>
        <w:spacing w:before="1083" w:after="0" w:lineRule="auto"/>
        <w:jc w:val="center"/>
      </w:pPr>
      <w:r>
        <w:rPr>
          <w:rFonts w:ascii="FZSSK--GBK1-0" w:hAnsi="FZSSK--GBK1-0" w:cs="FZSSK--GBK1-0" w:eastAsia="FZSSK--GBK1-0"/>
          <w:b w:val="false"/>
          <w:color w:val="000000"/>
          <w:sz w:val="50"/>
          <w:u w:val="none"/>
        </w:rPr>
        <w:t>论数字法学的概念与研究定位</w:t>
      </w:r>
    </w:p>
    <w:p>
      <w:pPr>
        <w:spacing w:before="0" w:after="0" w:lineRule="auto"/>
        <w:jc w:val="center"/>
      </w:pPr>
      <w:r>
        <w:rPr>
          <w:rFonts w:ascii="FZKTK--GBK1-0" w:hAnsi="FZKTK--GBK1-0" w:cs="FZKTK--GBK1-0" w:eastAsia="FZKTK--GBK1-0"/>
          <w:b w:val="false"/>
          <w:color w:val="000000"/>
          <w:sz w:val="30"/>
          <w:u w:val="none"/>
        </w:rPr>
        <w:t>——兼论我们需要什么样的人工智能法</w:t>
      </w:r>
      <w:r>
        <w:rPr>
          <w:rFonts w:ascii="FZKTK--GBK1-0" w:hAnsi="FZKTK--GBK1-0" w:cs="FZKTK--GBK1-0" w:eastAsia="FZKTK--GBK1-0"/>
          <w:b w:val="false"/>
          <w:color w:val="000000"/>
          <w:sz w:val="30"/>
          <w:u w:val="none"/>
        </w:rPr>
        <w:t xml:space="preserve"> 赵精武*</w:t>
      </w:r>
    </w:p>
    <w:tbl>
      <w:tblPr>
        <w:tblW w:w="0" w:type="auto"/>
        <w:jc w:val="center"/>
        <w:tblBorders>
          <w:top w:val="single"/>
          <w:left w:val="single"/>
          <w:bottom w:val="single"/>
          <w:right w:val="single"/>
          <w:insideH w:val="single"/>
          <w:insideV w:val="single"/>
        </w:tblBorders>
      </w:tblPr>
      <w:tr>
        <w:trPr>
          <w:trHeight w:val="2191"/>
        </w:trPr>
        <w:tc>
          <w:tcPr>
            <w:tcW w:type="dxa" w:w="3494"/>
            <w:vAlign w:val="center"/>
          </w:tcPr>
          <w:p>
            <w:pPr>
              <w:jc w:val="left"/>
            </w:pPr>
            <w:r>
              <w:rPr>
                <w:rFonts w:ascii="FZFSK--GBK1-0" w:hAnsi="FZFSK--GBK1-0" w:cs="FZFSK--GBK1-0" w:eastAsia="FZFSK--GBK1-0"/>
                <w:b w:val="false"/>
                <w:color w:val="000000"/>
                <w:sz w:val="20"/>
                <w:u w:val="none"/>
              </w:rPr>
              <w:t>目</w:t>
            </w:r>
            <w:r>
              <w:rPr>
                <w:rFonts w:ascii="FZFSK--GBK1-0" w:hAnsi="FZFSK--GBK1-0" w:cs="FZFSK--GBK1-0" w:eastAsia="FZFSK--GBK1-0"/>
                <w:b w:val="false"/>
                <w:color w:val="000000"/>
                <w:sz w:val="20"/>
                <w:u w:val="none"/>
              </w:rPr>
              <w:t>次</w:t>
            </w:r>
            <w:r>
              <w:rPr>
                <w:rFonts w:ascii="FZFSK--GBK1-0" w:hAnsi="FZFSK--GBK1-0" w:cs="FZFSK--GBK1-0" w:eastAsia="FZFSK--GBK1-0"/>
                <w:b w:val="false"/>
                <w:color w:val="000000"/>
                <w:sz w:val="20"/>
                <w:u w:val="none"/>
              </w:rPr>
              <w:t>一、问题的提出</w:t>
            </w:r>
            <w:r>
              <w:rPr>
                <w:rFonts w:ascii="FZFSK--GBK1-0" w:hAnsi="FZFSK--GBK1-0" w:cs="FZFSK--GBK1-0" w:eastAsia="FZFSK--GBK1-0"/>
                <w:b w:val="false"/>
                <w:color w:val="000000"/>
                <w:sz w:val="20"/>
                <w:u w:val="none"/>
              </w:rPr>
              <w:t>二、数字法学研究范畴的误区澄清</w:t>
            </w:r>
            <w:r>
              <w:rPr>
                <w:rFonts w:ascii="FZFSK--GBK1-0" w:hAnsi="FZFSK--GBK1-0" w:cs="FZFSK--GBK1-0" w:eastAsia="FZFSK--GBK1-0"/>
                <w:b w:val="false"/>
                <w:color w:val="000000"/>
                <w:sz w:val="20"/>
                <w:u w:val="none"/>
              </w:rPr>
              <w:t>三、数字法学研究范式的误区澄清</w:t>
            </w:r>
            <w:r>
              <w:rPr>
                <w:rFonts w:ascii="FZFSK--GBK1-0" w:hAnsi="FZFSK--GBK1-0" w:cs="FZFSK--GBK1-0" w:eastAsia="FZFSK--GBK1-0"/>
                <w:b w:val="false"/>
                <w:color w:val="000000"/>
                <w:sz w:val="20"/>
                <w:u w:val="none"/>
              </w:rPr>
              <w:t>四、数字法学研究定位“三问”</w:t>
            </w:r>
            <w:r>
              <w:rPr>
                <w:rFonts w:ascii="FZFSK--GBK1-0" w:hAnsi="FZFSK--GBK1-0" w:cs="FZFSK--GBK1-0" w:eastAsia="FZFSK--GBK1-0"/>
                <w:b w:val="false"/>
                <w:color w:val="000000"/>
                <w:sz w:val="20"/>
                <w:u w:val="none"/>
              </w:rPr>
              <w:t>五、数字法学的研究路径：以人工智能法学为例</w:t>
            </w:r>
            <w:r>
              <w:rPr>
                <w:rFonts w:ascii="FZFSK--GBK1-0" w:hAnsi="FZFSK--GBK1-0" w:cs="FZFSK--GBK1-0" w:eastAsia="FZFSK--GBK1-0"/>
                <w:b w:val="false"/>
                <w:color w:val="000000"/>
                <w:sz w:val="20"/>
                <w:u w:val="none"/>
              </w:rPr>
              <w:t>六、结语</w:t>
            </w:r>
          </w:p>
        </w:tc>
      </w:tr>
    </w:tbl>
    <w:p/>
    <w:p>
      <w:pPr>
        <w:spacing w:before="783" w:after="0" w:lineRule="auto"/>
        <w:ind w:firstLineChars="133" w:leftChars="227"/>
        <w:jc w:val="left"/>
      </w:pPr>
      <w:r>
        <w:rPr>
          <w:rFonts w:ascii="FZKTK--GBK1-0" w:hAnsi="FZKTK--GBK1-0" w:cs="FZKTK--GBK1-0" w:eastAsia="FZKTK--GBK1-0"/>
          <w:b w:val="false"/>
          <w:color w:val="231f20"/>
          <w:sz w:val="20"/>
          <w:u w:val="none"/>
        </w:rPr>
        <w:t>摘要数字法学概念是现代法学对数字社会法律问题变化的理论回应。然而，数字法学从雏</w:t>
      </w:r>
      <w:r>
        <w:rPr>
          <w:rFonts w:ascii="FZKTK--GBK1-0" w:hAnsi="FZKTK--GBK1-0" w:cs="FZKTK--GBK1-0" w:eastAsia="FZKTK--GBK1-0"/>
          <w:b w:val="false"/>
          <w:color w:val="231f20"/>
          <w:sz w:val="20"/>
          <w:u w:val="none"/>
        </w:rPr>
        <w:t xml:space="preserve"> 形出现到体系相对成熟，往往因为研究范畴和研究范式的不确定性而饱受争议，一度被认为是数字时</w:t>
      </w:r>
      <w:r>
        <w:rPr>
          <w:rFonts w:ascii="FZKTK--GBK1-0" w:hAnsi="FZKTK--GBK1-0" w:cs="FZKTK--GBK1-0" w:eastAsia="FZKTK--GBK1-0"/>
          <w:b w:val="false"/>
          <w:color w:val="231f20"/>
          <w:sz w:val="20"/>
          <w:u w:val="none"/>
        </w:rPr>
        <w:t xml:space="preserve"> 代法学研究的另一种称谓。事实上，数字法学作为现代法学的全新研究模式，研究目的包括法律概念</w:t>
      </w:r>
      <w:r>
        <w:rPr>
          <w:rFonts w:ascii="FZKTK--GBK1-0" w:hAnsi="FZKTK--GBK1-0" w:cs="FZKTK--GBK1-0" w:eastAsia="FZKTK--GBK1-0"/>
          <w:b w:val="false"/>
          <w:color w:val="231f20"/>
          <w:sz w:val="20"/>
          <w:u w:val="none"/>
        </w:rPr>
        <w:t xml:space="preserve"> 的补全、法律解释的调整以及技术风险的应对，故而其研究范畴和研究范式也会受数字技术创新变化</w:t>
      </w:r>
      <w:r>
        <w:rPr>
          <w:rFonts w:ascii="FZKTK--GBK1-0" w:hAnsi="FZKTK--GBK1-0" w:cs="FZKTK--GBK1-0" w:eastAsia="FZKTK--GBK1-0"/>
          <w:b w:val="false"/>
          <w:color w:val="231f20"/>
          <w:sz w:val="20"/>
          <w:u w:val="none"/>
        </w:rPr>
        <w:t xml:space="preserve"> 的影响而表现出开放性和动态性的基本特征。每一次技术创新都会产生不同类型的技术风险，但是，</w:t>
      </w:r>
      <w:r>
        <w:rPr>
          <w:rFonts w:ascii="FZKTK--GBK1-0" w:hAnsi="FZKTK--GBK1-0" w:cs="FZKTK--GBK1-0" w:eastAsia="FZKTK--GBK1-0"/>
          <w:b w:val="false"/>
          <w:color w:val="231f20"/>
          <w:sz w:val="20"/>
          <w:u w:val="none"/>
        </w:rPr>
        <w:t>这些风险并不都是数字法学所关注的法律问题。以遵循法学作为独立学科所必要的研究路径为基础，</w:t>
      </w:r>
      <w:r>
        <w:rPr>
          <w:rFonts w:ascii="FZKTK--GBK1-0" w:hAnsi="FZKTK--GBK1-0" w:cs="FZKTK--GBK1-0" w:eastAsia="FZKTK--GBK1-0"/>
          <w:b w:val="false"/>
          <w:color w:val="231f20"/>
          <w:sz w:val="20"/>
          <w:u w:val="none"/>
        </w:rPr>
        <w:t>包括人工智能技术在内的研究模式应当更加关注技术创新对法律关系的实质性影响，进而形成更符</w:t>
      </w:r>
      <w:r>
        <w:rPr>
          <w:rFonts w:ascii="FZKTK--GBK1-0" w:hAnsi="FZKTK--GBK1-0" w:cs="FZKTK--GBK1-0" w:eastAsia="FZKTK--GBK1-0"/>
          <w:b w:val="false"/>
          <w:color w:val="231f20"/>
          <w:sz w:val="20"/>
          <w:u w:val="none"/>
        </w:rPr>
        <w:t xml:space="preserve"> 合技术治理需求的新型研究范式。</w:t>
      </w:r>
    </w:p>
    <w:p>
      <w:pPr>
        <w:spacing w:before="150" w:after="0" w:lineRule="auto"/>
        <w:ind w:leftChars="363"/>
        <w:jc w:val="left"/>
      </w:pPr>
      <w:r>
        <w:rPr>
          <w:rFonts w:ascii="FZKTK--GBK1-0" w:hAnsi="FZKTK--GBK1-0" w:cs="FZKTK--GBK1-0" w:eastAsia="FZKTK--GBK1-0"/>
          <w:b w:val="false"/>
          <w:color w:val="231f20"/>
          <w:sz w:val="20"/>
          <w:u w:val="none"/>
        </w:rPr>
        <w:t>关键词数字法学研究范畴研究范式人工智能治理</w:t>
      </w:r>
    </w:p>
    <w:p>
      <w:pPr>
        <w:spacing w:before="775" w:after="0" w:lineRule="auto"/>
        <w:jc w:val="center"/>
      </w:pPr>
      <w:r>
        <w:rPr>
          <w:rFonts w:ascii="FZSSK--GBK1-0" w:hAnsi="FZSSK--GBK1-0" w:cs="FZSSK--GBK1-0" w:eastAsia="FZSSK--GBK1-0"/>
          <w:b w:val="false"/>
          <w:color w:val="231f20"/>
          <w:sz w:val="30"/>
          <w:u w:val="none"/>
        </w:rPr>
        <w:t>一、问题的提出</w:t>
      </w:r>
    </w:p>
    <w:p>
      <w:pPr>
        <w:spacing w:before="405" w:after="0" w:lineRule="auto"/>
        <w:ind w:firstLineChars="147" w:leftChars="14"/>
        <w:jc w:val="left"/>
      </w:pPr>
      <w:r>
        <w:rPr>
          <w:rFonts w:ascii="FZSSK--GBK1-0" w:hAnsi="FZSSK--GBK1-0" w:cs="FZSSK--GBK1-0" w:eastAsia="FZSSK--GBK1-0"/>
          <w:b w:val="false"/>
          <w:color w:val="231f20"/>
          <w:sz w:val="22"/>
          <w:u w:val="none"/>
        </w:rPr>
        <w:t>自大数据、云计算等信息技术迭代创新以来，数据、网络通信等非传统的法学研究客体逐渐走入</w:t>
      </w:r>
      <w:r>
        <w:rPr>
          <w:rFonts w:ascii="FZSSK--GBK1-0" w:hAnsi="FZSSK--GBK1-0" w:cs="FZSSK--GBK1-0" w:eastAsia="FZSSK--GBK1-0"/>
          <w:b w:val="false"/>
          <w:color w:val="231f20"/>
          <w:sz w:val="22"/>
          <w:u w:val="none"/>
        </w:rPr>
        <w:t xml:space="preserve"> 法学学者的研究视野。并且，生成式人工智能的异军突起更是掀起了“人工智能能否成为创作主体或</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203200</wp:posOffset>
            </wp:positionV>
            <wp:extent cy="25400" cx="1473200"/>
            <wp:effectExtent b="0" r="0" t="0" l="0"/>
            <wp:wrapTopAndBottom/>
            <wp:docPr name="note_line_image2.jpeg" i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2.jpeg" id="2"/>
                    <pic:cNvPicPr/>
                  </pic:nvPicPr>
                  <pic:blipFill>
                    <a:blip r:embed="rId6"/>
                    <a:stretch>
                      <a:fillRect/>
                    </a:stretch>
                  </pic:blipFill>
                  <pic:spPr>
                    <a:xfrm>
                      <a:off y="0" x="0"/>
                      <a:ext cy="25400" cx="1473200"/>
                    </a:xfrm>
                    <a:prstGeom prst="rect">
                      <a:avLst/>
                    </a:prstGeom>
                  </pic:spPr>
                </pic:pic>
              </a:graphicData>
            </a:graphic>
            <wp14:sizeRelH relativeFrom="margin">
              <wp14:pctWidth>0</wp14:pctWidth>
            </wp14:sizeRelH>
            <wp14:sizeRelV relativeFrom="margin">
              <wp14:pctHeight>0</wp14:pctHeight>
            </wp14:sizeRelV>
          </wp:anchor>
        </w:drawing>
      </w:r>
    </w:p>
    <w:p>
      <w:pPr>
        <w:spacing w:before="194" w:after="35" w:lineRule="auto"/>
        <w:ind w:firstLineChars="115" w:leftChars="17"/>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*赵精武，北京航空航天大学法学院副教授、工信部工业和信息化法治战略与管理重点实验室副主任、北京航空航天大学网络</w:t>
      </w:r>
      <w:r>
        <w:rPr>
          <w:rFonts w:ascii="FZSSK--GBK1-0" w:hAnsi="FZSSK--GBK1-0" w:cs="FZSSK--GBK1-0" w:eastAsia="FZSSK--GBK1-0"/>
          <w:b w:val="false"/>
          <w:color w:val="231f20"/>
          <w:sz w:val="20"/>
          <w:u w:val="none"/>
        </w:rPr>
        <w:t xml:space="preserve"> 空间国际治理研究基地副主任，法学博士。本文系 2023年度国家社会科学基金重大项目“当代中国数字法学基本范畴体系研究”（项</w:t>
      </w:r>
      <w:r>
        <w:rPr>
          <w:rFonts w:ascii="FZSSK--GBK1-0" w:hAnsi="FZSSK--GBK1-0" w:cs="FZSSK--GBK1-0" w:eastAsia="FZSSK--GBK1-0"/>
          <w:b w:val="false"/>
          <w:color w:val="231f20"/>
          <w:sz w:val="20"/>
          <w:u w:val="none"/>
        </w:rPr>
        <w:t xml:space="preserve"> 目号 23&amp;ZD154）的阶段性成果。</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3835400</wp:posOffset>
            </wp:positionH>
            <wp:positionV relativeFrom="paragraph">
              <wp:posOffset>0</wp:posOffset>
            </wp:positionV>
            <wp:extent cy="25400" cx="1968500"/>
            <wp:effectExtent b="0" r="0" t="0" l="0"/>
            <wp:wrapTopAndBottom/>
            <wp:docPr name="header_line_image3.jpeg" id="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3.jpeg" id="3"/>
                    <pic:cNvPicPr/>
                  </pic:nvPicPr>
                  <pic:blipFill>
                    <a:blip r:embed="rId7"/>
                    <a:stretch>
                      <a:fillRect/>
                    </a:stretch>
                  </pic:blipFill>
                  <pic:spPr>
                    <a:xfrm>
                      <a:off y="0" x="0"/>
                      <a:ext cy="25400" cx="1968500"/>
                    </a:xfrm>
                    <a:prstGeom prst="rect">
                      <a:avLst/>
                    </a:prstGeom>
                  </pic:spPr>
                </pic:pic>
              </a:graphicData>
            </a:graphic>
            <wp14:sizeRelH relativeFrom="margin">
              <wp14:pctWidth>0</wp14:pctWidth>
            </wp14:sizeRelH>
            <wp14:sizeRelV relativeFrom="margin">
              <wp14:pctHeight>0</wp14:pctHeight>
            </wp14:sizeRelV>
          </wp:anchor>
        </w:drawing>
      </w:r>
    </w:p>
    <w:p>
      <w:pPr>
        <w:spacing w:before="335" w:after="0" w:lineRule="auto"/>
        <w:ind w:leftChars="127"/>
        <w:jc w:val="left"/>
      </w:pPr>
      <w:r>
        <w:rPr>
          <w:rFonts w:ascii="FZSSK--GBK1-0" w:hAnsi="FZSSK--GBK1-0" w:cs="FZSSK--GBK1-0" w:eastAsia="FZSSK--GBK1-0"/>
          <w:b w:val="false"/>
          <w:color w:val="000000"/>
          <w:sz w:val="26"/>
          <w:u w:val="none"/>
        </w:rPr>
        <w:t>权利主体”等颠覆传统法学概念的讨论热潮。在这种技术创新的背景下，“数字法学”这一概念被不</w:t>
      </w:r>
      <w:r>
        <w:rPr>
          <w:rFonts w:ascii="FZSSK--GBK1-0" w:hAnsi="FZSSK--GBK1-0" w:cs="FZSSK--GBK1-0" w:eastAsia="FZSSK--GBK1-0"/>
          <w:b w:val="false"/>
          <w:color w:val="000000"/>
          <w:sz w:val="26"/>
          <w:u w:val="none"/>
        </w:rPr>
        <w:t xml:space="preserve"> 少学者提起，并被视为现代法学研究的新趋势、新动向。在中共中央办公厅、国务院办公厅 2023年印</w:t>
      </w:r>
      <w:r>
        <w:rPr>
          <w:rFonts w:ascii="FZSSK--GBK1-0" w:hAnsi="FZSSK--GBK1-0" w:cs="FZSSK--GBK1-0" w:eastAsia="FZSSK--GBK1-0"/>
          <w:b w:val="false"/>
          <w:color w:val="000000"/>
          <w:sz w:val="26"/>
          <w:u w:val="none"/>
        </w:rPr>
        <w:t xml:space="preserve"> 发的《关于加强新时代法学教育和法学理论研究的意见》中，更是专门提及要求“加快发展数字法学</w:t>
      </w:r>
      <w:r>
        <w:rPr>
          <w:rFonts w:ascii="FZSSK--GBK1-0" w:hAnsi="FZSSK--GBK1-0" w:cs="FZSSK--GBK1-0" w:eastAsia="FZSSK--GBK1-0"/>
          <w:b w:val="false"/>
          <w:color w:val="000000"/>
          <w:sz w:val="26"/>
          <w:u w:val="none"/>
        </w:rPr>
        <w:t xml:space="preserve"> 等新兴学科”。从学界的研究动态来看，围绕数据安全、网络安全、平台责任认定、技术风险治理等议</w:t>
      </w:r>
      <w:r>
        <w:rPr>
          <w:rFonts w:ascii="FZSSK--GBK1-0" w:hAnsi="FZSSK--GBK1-0" w:cs="FZSSK--GBK1-0" w:eastAsia="FZSSK--GBK1-0"/>
          <w:b w:val="false"/>
          <w:color w:val="000000"/>
          <w:sz w:val="26"/>
          <w:u w:val="none"/>
        </w:rPr>
        <w:t xml:space="preserve"> 题的研究成果在近几年呈现井喷式增长，甚至一度出现“凡是出现一项新技术，必有专门规制该技术</w:t>
      </w:r>
      <w:r>
        <w:rPr>
          <w:rFonts w:ascii="FZSSK--GBK1-0" w:hAnsi="FZSSK--GBK1-0" w:cs="FZSSK--GBK1-0" w:eastAsia="FZSSK--GBK1-0"/>
          <w:b w:val="false"/>
          <w:color w:val="000000"/>
          <w:sz w:val="26"/>
          <w:u w:val="none"/>
        </w:rPr>
        <w:t xml:space="preserve"> 风险的研究成果”〔1〕的现象。</w:t>
      </w:r>
    </w:p>
    <w:p>
      <w:pPr>
        <w:spacing w:before="123" w:after="0" w:lineRule="auto"/>
        <w:ind w:firstLineChars="150" w:leftChars="127"/>
        <w:jc w:val="left"/>
      </w:pPr>
      <w:r>
        <w:rPr>
          <w:rFonts w:ascii="FZSSK--GBK1-0" w:hAnsi="FZSSK--GBK1-0" w:cs="FZSSK--GBK1-0" w:eastAsia="FZSSK--GBK1-0"/>
          <w:b w:val="false"/>
          <w:color w:val="000000"/>
          <w:sz w:val="22"/>
          <w:u w:val="none"/>
        </w:rPr>
        <w:t>这种研究趋势的变化反映了法学学者对技术创新调整、改变传统法律关系及其内容的关注和担</w:t>
      </w:r>
      <w:r>
        <w:rPr>
          <w:rFonts w:ascii="FZSSK--GBK1-0" w:hAnsi="FZSSK--GBK1-0" w:cs="FZSSK--GBK1-0" w:eastAsia="FZSSK--GBK1-0"/>
          <w:b w:val="false"/>
          <w:color w:val="000000"/>
          <w:sz w:val="22"/>
          <w:u w:val="none"/>
        </w:rPr>
        <w:t xml:space="preserve"> 忧。“安全和发展是新兴技术领域规则取向永远的两难困境”。〔2〕特别是在网络空间，“安全”这一基</w:t>
      </w:r>
      <w:r>
        <w:rPr>
          <w:rFonts w:ascii="FZSSK--GBK1-0" w:hAnsi="FZSSK--GBK1-0" w:cs="FZSSK--GBK1-0" w:eastAsia="FZSSK--GBK1-0"/>
          <w:b w:val="false"/>
          <w:color w:val="000000"/>
          <w:sz w:val="22"/>
          <w:u w:val="none"/>
        </w:rPr>
        <w:t xml:space="preserve"> 础法律价值的重要性远超以往，其主要原因在于网络安全、数据安全的法益秩序一旦丧失，在客观上</w:t>
      </w:r>
      <w:r>
        <w:rPr>
          <w:rFonts w:ascii="FZSSK--GBK1-0" w:hAnsi="FZSSK--GBK1-0" w:cs="FZSSK--GBK1-0" w:eastAsia="FZSSK--GBK1-0"/>
          <w:b w:val="false"/>
          <w:color w:val="000000"/>
          <w:sz w:val="22"/>
          <w:u w:val="none"/>
        </w:rPr>
        <w:t xml:space="preserve"> 难以通过技术手段完全将其恢复至原有状态。例如，在数据泄露事件发生后，受害人虽然可以通过侵</w:t>
      </w:r>
      <w:r>
        <w:rPr>
          <w:rFonts w:ascii="FZSSK--GBK1-0" w:hAnsi="FZSSK--GBK1-0" w:cs="FZSSK--GBK1-0" w:eastAsia="FZSSK--GBK1-0"/>
          <w:b w:val="false"/>
          <w:color w:val="000000"/>
          <w:sz w:val="22"/>
          <w:u w:val="none"/>
        </w:rPr>
        <w:t xml:space="preserve"> 权诉讼获得损害赔偿，但是数据本身的廉价复制性和可存储性使得受害人无法通过侵权诉讼完全排</w:t>
      </w:r>
      <w:r>
        <w:rPr>
          <w:rFonts w:ascii="FZSSK--GBK1-0" w:hAnsi="FZSSK--GBK1-0" w:cs="FZSSK--GBK1-0" w:eastAsia="FZSSK--GBK1-0"/>
          <w:b w:val="false"/>
          <w:color w:val="000000"/>
          <w:sz w:val="22"/>
          <w:u w:val="none"/>
        </w:rPr>
        <w:t xml:space="preserve"> 除未来不确定的风险。并且，这种关注和担忧也使得部分学者对数字法学的研究范畴、研究范式以及</w:t>
      </w:r>
      <w:r>
        <w:rPr>
          <w:rFonts w:ascii="FZSSK--GBK1-0" w:hAnsi="FZSSK--GBK1-0" w:cs="FZSSK--GBK1-0" w:eastAsia="FZSSK--GBK1-0"/>
          <w:b w:val="false"/>
          <w:color w:val="000000"/>
          <w:sz w:val="22"/>
          <w:u w:val="none"/>
        </w:rPr>
        <w:t xml:space="preserve"> 研究必要性产生相当多的质疑。首当其冲的便是当下的法学研究是否真的已经进入了问题范畴明确、</w:t>
      </w:r>
      <w:r>
        <w:rPr>
          <w:rFonts w:ascii="FZSSK--GBK1-0" w:hAnsi="FZSSK--GBK1-0" w:cs="FZSSK--GBK1-0" w:eastAsia="FZSSK--GBK1-0"/>
          <w:b w:val="false"/>
          <w:color w:val="000000"/>
          <w:sz w:val="22"/>
          <w:u w:val="none"/>
        </w:rPr>
        <w:t>研究范式独立的数字法学领域，更确切地说，是否真的存在数字社会专属的“数字法学”。因为现有的</w:t>
      </w:r>
      <w:r>
        <w:rPr>
          <w:rFonts w:ascii="FZSSK--GBK1-0" w:hAnsi="FZSSK--GBK1-0" w:cs="FZSSK--GBK1-0" w:eastAsia="FZSSK--GBK1-0"/>
          <w:b w:val="false"/>
          <w:color w:val="000000"/>
          <w:sz w:val="22"/>
          <w:u w:val="none"/>
        </w:rPr>
        <w:t xml:space="preserve"> 数字法学研究成果归根结底还是按照传统的法学研究视角和研究路径分析数字社会的新问题、新风</w:t>
      </w:r>
      <w:r>
        <w:rPr>
          <w:rFonts w:ascii="FZSSK--GBK1-0" w:hAnsi="FZSSK--GBK1-0" w:cs="FZSSK--GBK1-0" w:eastAsia="FZSSK--GBK1-0"/>
          <w:b w:val="false"/>
          <w:color w:val="000000"/>
          <w:sz w:val="22"/>
          <w:u w:val="none"/>
        </w:rPr>
        <w:t xml:space="preserve"> 险，并不存在完全且彻底的“理论创新”。</w:t>
      </w:r>
    </w:p>
    <w:p>
      <w:pPr>
        <w:spacing w:before="123" w:after="0" w:lineRule="auto"/>
        <w:ind w:firstLineChars="150" w:leftChars="133"/>
        <w:jc w:val="left"/>
      </w:pPr>
      <w:r>
        <w:rPr>
          <w:rFonts w:ascii="FZSSK--GBK1-0" w:hAnsi="FZSSK--GBK1-0" w:cs="FZSSK--GBK1-0" w:eastAsia="FZSSK--GBK1-0"/>
          <w:b w:val="false"/>
          <w:color w:val="000000"/>
          <w:sz w:val="22"/>
          <w:u w:val="none"/>
        </w:rPr>
        <w:t>数字法学的存在之争看上去仅仅只是学科概念层面的争议，其结论似乎也不会对既有的法学研</w:t>
      </w:r>
      <w:r>
        <w:rPr>
          <w:rFonts w:ascii="FZSSK--GBK1-0" w:hAnsi="FZSSK--GBK1-0" w:cs="FZSSK--GBK1-0" w:eastAsia="FZSSK--GBK1-0"/>
          <w:b w:val="false"/>
          <w:color w:val="000000"/>
          <w:sz w:val="22"/>
          <w:u w:val="none"/>
        </w:rPr>
        <w:t xml:space="preserve"> 究内容产生实质性影响。但是，准确地理解数字法学的体系定位能够明确数字社会法学研究真正应</w:t>
      </w:r>
      <w:r>
        <w:rPr>
          <w:rFonts w:ascii="FZSSK--GBK1-0" w:hAnsi="FZSSK--GBK1-0" w:cs="FZSSK--GBK1-0" w:eastAsia="FZSSK--GBK1-0"/>
          <w:b w:val="false"/>
          <w:color w:val="000000"/>
          <w:sz w:val="22"/>
          <w:u w:val="none"/>
        </w:rPr>
        <w:t xml:space="preserve"> 当关注的法律问题。即便是数字法学的支持者，也不得不承认部分研究成果已经开始偏离法学领域，</w:t>
      </w:r>
      <w:r>
        <w:rPr>
          <w:rFonts w:ascii="FZSSK--GBK1-0" w:hAnsi="FZSSK--GBK1-0" w:cs="FZSSK--GBK1-0" w:eastAsia="FZSSK--GBK1-0"/>
          <w:b w:val="false"/>
          <w:color w:val="000000"/>
          <w:sz w:val="22"/>
          <w:u w:val="none"/>
        </w:rPr>
        <w:t>出现对策建议论、超前风险论、专门立法论等不同程度的研究偏差。更有甚者，已经替代技术专家开</w:t>
      </w:r>
      <w:r>
        <w:rPr>
          <w:rFonts w:ascii="FZSSK--GBK1-0" w:hAnsi="FZSSK--GBK1-0" w:cs="FZSSK--GBK1-0" w:eastAsia="FZSSK--GBK1-0"/>
          <w:b w:val="false"/>
          <w:color w:val="000000"/>
          <w:sz w:val="22"/>
          <w:u w:val="none"/>
        </w:rPr>
        <w:t xml:space="preserve"> 始“预言”在遥远的未来将存在何种技术安全风险。因此，在数字法学研究“繁荣”的当下，确有必要</w:t>
      </w:r>
      <w:r>
        <w:rPr>
          <w:rFonts w:ascii="FZSSK--GBK1-0" w:hAnsi="FZSSK--GBK1-0" w:cs="FZSSK--GBK1-0" w:eastAsia="FZSSK--GBK1-0"/>
          <w:b w:val="false"/>
          <w:color w:val="000000"/>
          <w:sz w:val="22"/>
          <w:u w:val="none"/>
        </w:rPr>
        <w:t xml:space="preserve"> 重新审视和解释数字法学的研究范畴和研究范式，厘清数字法学的研究定位，回应“数字法学是否真</w:t>
      </w:r>
      <w:r>
        <w:rPr>
          <w:rFonts w:ascii="FZSSK--GBK1-0" w:hAnsi="FZSSK--GBK1-0" w:cs="FZSSK--GBK1-0" w:eastAsia="FZSSK--GBK1-0"/>
          <w:b w:val="false"/>
          <w:color w:val="000000"/>
          <w:sz w:val="22"/>
          <w:u w:val="none"/>
        </w:rPr>
        <w:t xml:space="preserve"> 的存在”这一根本性问题。</w:t>
      </w:r>
    </w:p>
    <w:p>
      <w:pPr>
        <w:spacing w:before="475" w:after="0" w:lineRule="auto"/>
        <w:jc w:val="center"/>
      </w:pPr>
      <w:r>
        <w:rPr>
          <w:rFonts w:ascii="FZSSK--GBK1-0" w:hAnsi="FZSSK--GBK1-0" w:cs="FZSSK--GBK1-0" w:eastAsia="FZSSK--GBK1-0"/>
          <w:b w:val="false"/>
          <w:color w:val="000000"/>
          <w:sz w:val="30"/>
          <w:u w:val="none"/>
        </w:rPr>
        <w:t>二、数字法学研究范畴的误区澄清</w:t>
      </w:r>
    </w:p>
    <w:p>
      <w:pPr>
        <w:spacing w:before="396" w:after="0" w:lineRule="auto"/>
        <w:ind w:leftChars="274"/>
        <w:jc w:val="left"/>
      </w:pPr>
      <w:r>
        <w:rPr>
          <w:rFonts w:ascii="FZSSK--GBK1-0" w:hAnsi="FZSSK--GBK1-0" w:cs="FZSSK--GBK1-0" w:eastAsia="FZSSK--GBK1-0"/>
          <w:b w:val="false"/>
          <w:color w:val="000000"/>
          <w:sz w:val="22"/>
          <w:u w:val="none"/>
        </w:rPr>
        <w:t>（一）质疑与回应：数字法学研究范畴的不确定</w:t>
      </w:r>
    </w:p>
    <w:p>
      <w:pPr>
        <w:spacing w:before="114" w:after="0" w:lineRule="auto"/>
        <w:ind w:firstLineChars="150" w:leftChars="127"/>
        <w:jc w:val="left"/>
      </w:pPr>
      <w:r>
        <w:rPr>
          <w:rFonts w:ascii="FZSSK--GBK1-0" w:hAnsi="FZSSK--GBK1-0" w:cs="FZSSK--GBK1-0" w:eastAsia="FZSSK--GBK1-0"/>
          <w:b w:val="false"/>
          <w:color w:val="000000"/>
          <w:sz w:val="22"/>
          <w:u w:val="none"/>
        </w:rPr>
        <w:t>在数字法学研究领域中，信息技术创新应用及其安全风险始终是重要的研究内容。不过，部分</w:t>
      </w:r>
      <w:r>
        <w:rPr>
          <w:rFonts w:ascii="FZSSK--GBK1-0" w:hAnsi="FZSSK--GBK1-0" w:cs="FZSSK--GBK1-0" w:eastAsia="FZSSK--GBK1-0"/>
          <w:b w:val="false"/>
          <w:color w:val="000000"/>
          <w:sz w:val="22"/>
          <w:u w:val="none"/>
        </w:rPr>
        <w:t xml:space="preserve"> 研究在追求“法学研究应当快速回应产业发展及其社会问题”的过程中发生了研究视角和研究内容</w:t>
      </w:r>
      <w:r>
        <w:rPr>
          <w:rFonts w:ascii="FZSSK--GBK1-0" w:hAnsi="FZSSK--GBK1-0" w:cs="FZSSK--GBK1-0" w:eastAsia="FZSSK--GBK1-0"/>
          <w:b w:val="false"/>
          <w:color w:val="000000"/>
          <w:sz w:val="22"/>
          <w:u w:val="none"/>
        </w:rPr>
        <w:t xml:space="preserve"> 的异化，将调整法律关系、厘清权利义务边界的论述重心完全转向了“技术规制论”和“专门立法论”。</w:t>
      </w:r>
      <w:r>
        <w:rPr>
          <w:rFonts w:ascii="FZSSK--GBK1-0" w:hAnsi="FZSSK--GBK1-0" w:cs="FZSSK--GBK1-0" w:eastAsia="FZSSK--GBK1-0"/>
          <w:b w:val="false"/>
          <w:color w:val="000000"/>
          <w:sz w:val="22"/>
          <w:u w:val="none"/>
        </w:rPr>
        <w:t>该类研究模式的特点在于，侧重对新兴技术应用方式和潜在安全风险的关注，忽视新兴技术背后的法</w:t>
      </w:r>
      <w:r>
        <w:rPr>
          <w:rFonts w:ascii="FZSSK--GBK1-0" w:hAnsi="FZSSK--GBK1-0" w:cs="FZSSK--GBK1-0" w:eastAsia="FZSSK--GBK1-0"/>
          <w:b w:val="false"/>
          <w:color w:val="000000"/>
          <w:sz w:val="22"/>
          <w:u w:val="none"/>
        </w:rPr>
        <w:t xml:space="preserve"> 律问题是否与以往的法律问题存在相同性。在人工智能技术风险治理领域，有学者认为人工智能技</w:t>
      </w:r>
      <w:r>
        <w:rPr>
          <w:rFonts w:ascii="FZSSK--GBK1-0" w:hAnsi="FZSSK--GBK1-0" w:cs="FZSSK--GBK1-0" w:eastAsia="FZSSK--GBK1-0"/>
          <w:b w:val="false"/>
          <w:color w:val="000000"/>
          <w:sz w:val="22"/>
          <w:u w:val="none"/>
        </w:rPr>
        <w:t xml:space="preserve"> 术应用产生的问题并不全是“新问题”，有相当一部分不过是老问题的“凸显”罢了，例如，人工智能对</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228600</wp:posOffset>
            </wp:positionH>
            <wp:positionV relativeFrom="paragraph">
              <wp:posOffset>457200</wp:posOffset>
            </wp:positionV>
            <wp:extent cy="25400" cx="1473200"/>
            <wp:effectExtent b="0" r="0" t="0" l="0"/>
            <wp:wrapTopAndBottom/>
            <wp:docPr name="note_line_image4.jpeg" id="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4.jpeg" id="4"/>
                    <pic:cNvPicPr/>
                  </pic:nvPicPr>
                  <pic:blipFill>
                    <a:blip r:embed="rId8"/>
                    <a:stretch>
                      <a:fillRect/>
                    </a:stretch>
                  </pic:blipFill>
                  <pic:spPr>
                    <a:xfrm>
                      <a:off y="0" x="0"/>
                      <a:ext cy="25400" cx="1473200"/>
                    </a:xfrm>
                    <a:prstGeom prst="rect">
                      <a:avLst/>
                    </a:prstGeom>
                  </pic:spPr>
                </pic:pic>
              </a:graphicData>
            </a:graphic>
            <wp14:sizeRelH relativeFrom="margin">
              <wp14:pctWidth>0</wp14:pctWidth>
            </wp14:sizeRelH>
            <wp14:sizeRelV relativeFrom="margin">
              <wp14:pctHeight>0</wp14:pctHeight>
            </wp14:sizeRelV>
          </wp:anchor>
        </w:drawing>
      </w:r>
    </w:p>
    <w:p>
      <w:pPr>
        <w:spacing w:before="273" w:after="0" w:lineRule="auto"/>
        <w:ind w:firstLineChars="88" w:leftChars="109"/>
        <w:jc w:val="left"/>
      </w:pPr>
      <w:r>
        <w:rPr>
          <w:rFonts w:ascii="FZSSK--GBK1-0" w:hAnsi="FZSSK--GBK1-0" w:cs="FZSSK--GBK1-0" w:eastAsia="FZSSK--GBK1-0"/>
          <w:b w:val="false"/>
          <w:color w:val="231f20"/>
          <w:sz w:val="20"/>
          <w:u w:val="none"/>
        </w:rPr>
        <w:t>〔 1〕赵精武：《“元宇宙”安全风险的法律规制路径：从假想式规制到过程风险预防》，载《上海大学学报（社会科学版）》2022年</w:t>
      </w:r>
      <w:r>
        <w:rPr>
          <w:rFonts w:ascii="FZSSK--GBK1-0" w:hAnsi="FZSSK--GBK1-0" w:cs="FZSSK--GBK1-0" w:eastAsia="FZSSK--GBK1-0"/>
          <w:b w:val="false"/>
          <w:color w:val="231f20"/>
          <w:sz w:val="20"/>
          <w:u w:val="none"/>
        </w:rPr>
        <w:t xml:space="preserve"> 第 5期，第 103-115页。</w:t>
      </w:r>
    </w:p>
    <w:p>
      <w:pPr>
        <w:spacing w:before="62" w:after="9" w:lineRule="auto"/>
        <w:ind w:leftChars="245"/>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 2〕肖君拥：《区块链技术应用的法理审思及法律规制》，载《学术交流》2023年第 8期，第 33页。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50800</wp:posOffset>
            </wp:positionH>
            <wp:positionV relativeFrom="paragraph">
              <wp:posOffset>12700</wp:posOffset>
            </wp:positionV>
            <wp:extent cy="12700" cx="17653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12700" cx="1765300"/>
                    </a:xfrm>
                    <a:prstGeom prst="rect">
                      <a:avLst/>
                    </a:prstGeom>
                  </pic:spPr>
                </pic:pic>
              </a:graphicData>
            </a:graphic>
            <wp14:sizeRelH relativeFrom="margin">
              <wp14:pctWidth>0</wp14:pctWidth>
            </wp14:sizeRelH>
            <wp14:sizeRelV relativeFrom="margin">
              <wp14:pctHeight>0</wp14:pctHeight>
            </wp14:sizeRelV>
          </wp:anchor>
        </w:drawing>
      </w:r>
    </w:p>
    <w:p>
      <w:pPr>
        <w:spacing w:before="308" w:after="0" w:lineRule="auto"/>
        <w:ind w:leftChars="17"/>
        <w:jc w:val="left"/>
      </w:pPr>
      <w:r>
        <w:rPr>
          <w:rFonts w:ascii="FZSSK--GBK1-0" w:hAnsi="FZSSK--GBK1-0" w:cs="FZSSK--GBK1-0" w:eastAsia="FZSSK--GBK1-0"/>
          <w:b w:val="false"/>
          <w:color w:val="000000"/>
          <w:sz w:val="22"/>
          <w:u w:val="none"/>
        </w:rPr>
        <w:t>于个人信息的安全保护问题依旧属于一般意义上的个人信息保护议题。〔3〕类似地，在大数据、云计</w:t>
      </w:r>
      <w:r>
        <w:rPr>
          <w:rFonts w:ascii="FZSSK--GBK1-0" w:hAnsi="FZSSK--GBK1-0" w:cs="FZSSK--GBK1-0" w:eastAsia="FZSSK--GBK1-0"/>
          <w:b w:val="false"/>
          <w:color w:val="000000"/>
          <w:sz w:val="22"/>
          <w:u w:val="none"/>
        </w:rPr>
        <w:t xml:space="preserve"> 算、区块链、人工智能、工业互联网、数字孪生、人形机器人等技术出现后，这些技术应用所产生的安全</w:t>
      </w:r>
      <w:r>
        <w:rPr>
          <w:rFonts w:ascii="FZSSK--GBK1-0" w:hAnsi="FZSSK--GBK1-0" w:cs="FZSSK--GBK1-0" w:eastAsia="FZSSK--GBK1-0"/>
          <w:b w:val="false"/>
          <w:color w:val="000000"/>
          <w:sz w:val="22"/>
          <w:u w:val="none"/>
        </w:rPr>
        <w:t xml:space="preserve"> 风险也并不全都是“新型的现代社会风险”。诚然，从产业发展保障的角度来看，单独论证具体技术应</w:t>
      </w:r>
      <w:r>
        <w:rPr>
          <w:rFonts w:ascii="FZSSK--GBK1-0" w:hAnsi="FZSSK--GBK1-0" w:cs="FZSSK--GBK1-0" w:eastAsia="FZSSK--GBK1-0"/>
          <w:b w:val="false"/>
          <w:color w:val="000000"/>
          <w:sz w:val="22"/>
          <w:u w:val="none"/>
        </w:rPr>
        <w:t xml:space="preserve"> 用的治理模式确有必要，但是这种“治理模式”却容易导致法学研究走向对策分析、政策设计的研究</w:t>
      </w:r>
      <w:r>
        <w:rPr>
          <w:rFonts w:ascii="FZSSK--GBK1-0" w:hAnsi="FZSSK--GBK1-0" w:cs="FZSSK--GBK1-0" w:eastAsia="FZSSK--GBK1-0"/>
          <w:b w:val="false"/>
          <w:color w:val="000000"/>
          <w:sz w:val="22"/>
          <w:u w:val="none"/>
        </w:rPr>
        <w:t xml:space="preserve"> 异化。对数字法学研究范畴不确定的质疑点恰恰也是由于技术创新“跟踪式研究”泛化所导致的真</w:t>
      </w:r>
      <w:r>
        <w:rPr>
          <w:rFonts w:ascii="FZSSK--GBK1-0" w:hAnsi="FZSSK--GBK1-0" w:cs="FZSSK--GBK1-0" w:eastAsia="FZSSK--GBK1-0"/>
          <w:b w:val="false"/>
          <w:color w:val="000000"/>
          <w:sz w:val="22"/>
          <w:u w:val="none"/>
        </w:rPr>
        <w:t xml:space="preserve"> 假问题混同，简言之，非法学意义上的技术问题、政策问题正在被纳入数字法学研究领域，甚至取代了</w:t>
      </w:r>
      <w:r>
        <w:rPr>
          <w:rFonts w:ascii="FZSSK--GBK1-0" w:hAnsi="FZSSK--GBK1-0" w:cs="FZSSK--GBK1-0" w:eastAsia="FZSSK--GBK1-0"/>
          <w:b w:val="false"/>
          <w:color w:val="000000"/>
          <w:sz w:val="22"/>
          <w:u w:val="none"/>
        </w:rPr>
        <w:t xml:space="preserve"> 核心法律问题的主体性地位。</w:t>
      </w:r>
    </w:p>
    <w:p>
      <w:pPr>
        <w:spacing w:before="114" w:after="0" w:lineRule="auto"/>
        <w:ind w:leftChars="153"/>
        <w:jc w:val="left"/>
      </w:pPr>
      <w:r>
        <w:rPr>
          <w:rFonts w:ascii="FZSSK--GBK1-0" w:hAnsi="FZSSK--GBK1-0" w:cs="FZSSK--GBK1-0" w:eastAsia="FZSSK--GBK1-0"/>
          <w:b w:val="false"/>
          <w:color w:val="000000"/>
          <w:sz w:val="22"/>
          <w:u w:val="none"/>
        </w:rPr>
        <w:t>（二）研究范畴的确认基础：研究目的</w:t>
      </w:r>
    </w:p>
    <w:p>
      <w:pPr>
        <w:spacing w:before="132" w:after="0" w:lineRule="auto"/>
        <w:ind w:firstLineChars="147" w:leftChars="11"/>
        <w:jc w:val="left"/>
      </w:pPr>
      <w:r>
        <w:rPr>
          <w:rFonts w:ascii="FZSSK--GBK1-0" w:hAnsi="FZSSK--GBK1-0" w:cs="FZSSK--GBK1-0" w:eastAsia="FZSSK--GBK1-0"/>
          <w:b w:val="false"/>
          <w:color w:val="000000"/>
          <w:sz w:val="22"/>
          <w:u w:val="none"/>
        </w:rPr>
        <w:t>数字法学的形成并不是法学研究对数字技术创新应用的“盲从”和“蹭热点”，而是全新且迫切的</w:t>
      </w:r>
      <w:r>
        <w:rPr>
          <w:rFonts w:ascii="FZSSK--GBK1-0" w:hAnsi="FZSSK--GBK1-0" w:cs="FZSSK--GBK1-0" w:eastAsia="FZSSK--GBK1-0"/>
          <w:b w:val="false"/>
          <w:color w:val="000000"/>
          <w:sz w:val="22"/>
          <w:u w:val="none"/>
        </w:rPr>
        <w:t xml:space="preserve"> 社会治理需求改变了既有法学研究的内在体系和研究重心。所谓的“技术彻底改变了传统法学研究</w:t>
      </w:r>
      <w:r>
        <w:rPr>
          <w:rFonts w:ascii="FZSSK--GBK1-0" w:hAnsi="FZSSK--GBK1-0" w:cs="FZSSK--GBK1-0" w:eastAsia="FZSSK--GBK1-0"/>
          <w:b w:val="false"/>
          <w:color w:val="000000"/>
          <w:sz w:val="22"/>
          <w:u w:val="none"/>
        </w:rPr>
        <w:t xml:space="preserve"> 模式”等类似论断过高地估量了技术对法学的影响程度，法律与科技的关系实际上是“合作生产”，即</w:t>
      </w:r>
      <w:r>
        <w:rPr>
          <w:rFonts w:ascii="FZSSK--GBK1-0" w:hAnsi="FZSSK--GBK1-0" w:cs="FZSSK--GBK1-0" w:eastAsia="FZSSK--GBK1-0"/>
          <w:b w:val="false"/>
          <w:color w:val="000000"/>
          <w:sz w:val="22"/>
          <w:u w:val="none"/>
        </w:rPr>
        <w:t xml:space="preserve"> 从不同方向共同建构出社会实体。〔4〕因为法学作为一门独立的新兴学科，无论研究对象、研究范畴如</w:t>
      </w:r>
      <w:r>
        <w:rPr>
          <w:rFonts w:ascii="FZSSK--GBK1-0" w:hAnsi="FZSSK--GBK1-0" w:cs="FZSSK--GBK1-0" w:eastAsia="FZSSK--GBK1-0"/>
          <w:b w:val="false"/>
          <w:color w:val="000000"/>
          <w:sz w:val="22"/>
          <w:u w:val="none"/>
        </w:rPr>
        <w:t xml:space="preserve"> 何变化，终究是一套有关社会科学的研究体系，数字技术对法学研究体系的影响主要还是表现为权利</w:t>
      </w:r>
      <w:r>
        <w:rPr>
          <w:rFonts w:ascii="FZSSK--GBK1-0" w:hAnsi="FZSSK--GBK1-0" w:cs="FZSSK--GBK1-0" w:eastAsia="FZSSK--GBK1-0"/>
          <w:b w:val="false"/>
          <w:color w:val="000000"/>
          <w:sz w:val="22"/>
          <w:u w:val="none"/>
        </w:rPr>
        <w:t xml:space="preserve"> 义务内容和法律体系的变动。诚然，人工智能技术的应用方式似乎已经在动摇传统法学的理论基石，</w:t>
      </w:r>
      <w:r>
        <w:rPr>
          <w:rFonts w:ascii="FZSSK--GBK1-0" w:hAnsi="FZSSK--GBK1-0" w:cs="FZSSK--GBK1-0" w:eastAsia="FZSSK--GBK1-0"/>
          <w:b w:val="false"/>
          <w:color w:val="000000"/>
          <w:sz w:val="22"/>
          <w:u w:val="none"/>
        </w:rPr>
        <w:t>“人工智能技术能够作为独立的法律主体”等相关论述也一度成为热点问题。值得商榷的是，这类论</w:t>
      </w:r>
      <w:r>
        <w:rPr>
          <w:rFonts w:ascii="FZSSK--GBK1-0" w:hAnsi="FZSSK--GBK1-0" w:cs="FZSSK--GBK1-0" w:eastAsia="FZSSK--GBK1-0"/>
          <w:b w:val="false"/>
          <w:color w:val="000000"/>
          <w:sz w:val="22"/>
          <w:u w:val="none"/>
        </w:rPr>
        <w:t xml:space="preserve"> 述的预设前提是人工智能具备独立的思维意识和“自我进化”能力，〔5〕这显然超出了当下生成式人</w:t>
      </w:r>
      <w:r>
        <w:rPr>
          <w:rFonts w:ascii="FZSSK--GBK1-0" w:hAnsi="FZSSK--GBK1-0" w:cs="FZSSK--GBK1-0" w:eastAsia="FZSSK--GBK1-0"/>
          <w:b w:val="false"/>
          <w:color w:val="000000"/>
          <w:sz w:val="22"/>
          <w:u w:val="none"/>
        </w:rPr>
        <w:t xml:space="preserve"> 工智能发展水平。〔6〕或许，在技术层面，“强人工智能”等概念可能具有一定探讨和评估的理论价值。</w:t>
      </w:r>
      <w:r>
        <w:rPr>
          <w:rFonts w:ascii="FZSSK--GBK1-0" w:hAnsi="FZSSK--GBK1-0" w:cs="FZSSK--GBK1-0" w:eastAsia="FZSSK--GBK1-0"/>
          <w:b w:val="false"/>
          <w:color w:val="000000"/>
          <w:sz w:val="22"/>
          <w:u w:val="none"/>
        </w:rPr>
        <w:t>但是，在法学研究领域，忽视人工智能技术的客观发展规律，仅以技术研发者观念设想中的技术概念</w:t>
      </w:r>
      <w:r>
        <w:rPr>
          <w:rFonts w:ascii="FZSSK--GBK1-0" w:hAnsi="FZSSK--GBK1-0" w:cs="FZSSK--GBK1-0" w:eastAsia="FZSSK--GBK1-0"/>
          <w:b w:val="false"/>
          <w:color w:val="000000"/>
          <w:sz w:val="22"/>
          <w:u w:val="none"/>
        </w:rPr>
        <w:t xml:space="preserve"> 为依据，探讨人工智能技术作为法律主体的可能性已经超出了法学研究的基本范畴，即脱离具体法律</w:t>
      </w:r>
      <w:r>
        <w:rPr>
          <w:rFonts w:ascii="FZSSK--GBK1-0" w:hAnsi="FZSSK--GBK1-0" w:cs="FZSSK--GBK1-0" w:eastAsia="FZSSK--GBK1-0"/>
          <w:b w:val="false"/>
          <w:color w:val="000000"/>
          <w:sz w:val="22"/>
          <w:u w:val="none"/>
        </w:rPr>
        <w:t xml:space="preserve"> 关系所依赖的社会实践现状。因此，也有学者直接指出这种对人工智能技术的忧虑“只是依靠无数假</w:t>
      </w:r>
      <w:r>
        <w:rPr>
          <w:rFonts w:ascii="FZSSK--GBK1-0" w:hAnsi="FZSSK--GBK1-0" w:cs="FZSSK--GBK1-0" w:eastAsia="FZSSK--GBK1-0"/>
          <w:b w:val="false"/>
          <w:color w:val="000000"/>
          <w:sz w:val="22"/>
          <w:u w:val="none"/>
        </w:rPr>
        <w:t xml:space="preserve"> 想拼凑起来的幻影”〔7〕，并没有甄别人工智能技术应用所产生的“真问题”。</w:t>
      </w:r>
    </w:p>
    <w:p>
      <w:pPr>
        <w:spacing w:before="97" w:after="0" w:lineRule="auto"/>
        <w:ind w:firstLineChars="147" w:leftChars="11"/>
        <w:jc w:val="left"/>
      </w:pPr>
      <w:r>
        <w:rPr>
          <w:rFonts w:ascii="FZSSK--GBK1-0" w:hAnsi="FZSSK--GBK1-0" w:cs="FZSSK--GBK1-0" w:eastAsia="FZSSK--GBK1-0"/>
          <w:b w:val="false"/>
          <w:color w:val="000000"/>
          <w:sz w:val="22"/>
          <w:u w:val="none"/>
        </w:rPr>
        <w:t>数字法学研究范畴具有相对性，并非像部门法那般存在着清晰的适用范围。数字法学的研究范</w:t>
      </w:r>
      <w:r>
        <w:rPr>
          <w:rFonts w:ascii="FZSSK--GBK1-0" w:hAnsi="FZSSK--GBK1-0" w:cs="FZSSK--GBK1-0" w:eastAsia="FZSSK--GBK1-0"/>
          <w:b w:val="false"/>
          <w:color w:val="000000"/>
          <w:sz w:val="22"/>
          <w:u w:val="none"/>
        </w:rPr>
        <w:t xml:space="preserve"> 畴与其研究目的、研究任务密切相关。与传统法学研究相比，数字法学是与社会发展同步演进而形成</w:t>
      </w:r>
      <w:r>
        <w:rPr>
          <w:rFonts w:ascii="FZSSK--GBK1-0" w:hAnsi="FZSSK--GBK1-0" w:cs="FZSSK--GBK1-0" w:eastAsia="FZSSK--GBK1-0"/>
          <w:b w:val="false"/>
          <w:color w:val="000000"/>
          <w:sz w:val="22"/>
          <w:u w:val="none"/>
        </w:rPr>
        <w:t xml:space="preserve"> 的法学研究阶段，故而相应的研究目的也是为了解释数字社会实践变化对法律体系的影响。在工业</w:t>
      </w:r>
      <w:r>
        <w:rPr>
          <w:rFonts w:ascii="FZSSK--GBK1-0" w:hAnsi="FZSSK--GBK1-0" w:cs="FZSSK--GBK1-0" w:eastAsia="FZSSK--GBK1-0"/>
          <w:b w:val="false"/>
          <w:color w:val="000000"/>
          <w:sz w:val="22"/>
          <w:u w:val="none"/>
        </w:rPr>
        <w:t xml:space="preserve"> 社会阶段，并不存在所谓的“工业法学”等类似概念，而在信息社会阶段，却产生了数字法学等概念。</w:t>
      </w:r>
      <w:r>
        <w:rPr>
          <w:rFonts w:ascii="FZSSK--GBK1-0" w:hAnsi="FZSSK--GBK1-0" w:cs="FZSSK--GBK1-0" w:eastAsia="FZSSK--GBK1-0"/>
          <w:b w:val="false"/>
          <w:color w:val="000000"/>
          <w:sz w:val="22"/>
          <w:u w:val="none"/>
        </w:rPr>
        <w:t>两个社会阶段看似均存在重大的技术创新应用，但前者的技术创新仍然发生在物质空间，而后者的技</w:t>
      </w:r>
      <w:r>
        <w:rPr>
          <w:rFonts w:ascii="FZSSK--GBK1-0" w:hAnsi="FZSSK--GBK1-0" w:cs="FZSSK--GBK1-0" w:eastAsia="FZSSK--GBK1-0"/>
          <w:b w:val="false"/>
          <w:color w:val="000000"/>
          <w:sz w:val="22"/>
          <w:u w:val="none"/>
        </w:rPr>
        <w:t xml:space="preserve"> 术创新却是以网络空间为依托，并且数据和信息成为个体在网络空间的行为标识。因此，数字法学的</w:t>
      </w:r>
      <w:r>
        <w:rPr>
          <w:rFonts w:ascii="FZSSK--GBK1-0" w:hAnsi="FZSSK--GBK1-0" w:cs="FZSSK--GBK1-0" w:eastAsia="FZSSK--GBK1-0"/>
          <w:b w:val="false"/>
          <w:color w:val="000000"/>
          <w:sz w:val="22"/>
          <w:u w:val="none"/>
        </w:rPr>
        <w:t xml:space="preserve"> 产生与形成是网络空间与物质空间的法律规则衔接的必然产物，这也能解释传统法学与数字法学两</w:t>
      </w:r>
      <w:r>
        <w:rPr>
          <w:rFonts w:ascii="FZSSK--GBK1-0" w:hAnsi="FZSSK--GBK1-0" w:cs="FZSSK--GBK1-0" w:eastAsia="FZSSK--GBK1-0"/>
          <w:b w:val="false"/>
          <w:color w:val="000000"/>
          <w:sz w:val="22"/>
          <w:u w:val="none"/>
        </w:rPr>
        <w:t xml:space="preserve"> 种研究模式并存的原因。信息技术创新改变了互联网发展初期网络空间附属于物质空间的法律性质，</w:t>
      </w:r>
      <w:r>
        <w:rPr>
          <w:rFonts w:ascii="FZSSK--GBK1-0" w:hAnsi="FZSSK--GBK1-0" w:cs="FZSSK--GBK1-0" w:eastAsia="FZSSK--GBK1-0"/>
          <w:b w:val="false"/>
          <w:color w:val="000000"/>
          <w:sz w:val="22"/>
          <w:u w:val="none"/>
        </w:rPr>
        <w:t>线上业务与线下业务之间的区分不再是单纯的场所区分，而是涉及特定法律规则的适用差异。这种</w:t>
      </w:r>
      <w:r>
        <w:rPr>
          <w:rFonts w:ascii="FZSSK--GBK1-0" w:hAnsi="FZSSK--GBK1-0" w:cs="FZSSK--GBK1-0" w:eastAsia="FZSSK--GBK1-0"/>
          <w:b w:val="false"/>
          <w:color w:val="000000"/>
          <w:sz w:val="22"/>
          <w:u w:val="none"/>
        </w:rPr>
        <w:t xml:space="preserve"> 差异也将数字法学的研究目的限定为三个层面：一是法律概念的补全，数字技术创新应用在概念层面</w:t>
      </w:r>
      <w:r>
        <w:rPr>
          <w:rFonts w:ascii="FZSSK--GBK1-0" w:hAnsi="FZSSK--GBK1-0" w:cs="FZSSK--GBK1-0" w:eastAsia="FZSSK--GBK1-0"/>
          <w:b w:val="false"/>
          <w:color w:val="000000"/>
          <w:sz w:val="22"/>
          <w:u w:val="none"/>
        </w:rPr>
        <w:t xml:space="preserve"> 扩大了法学学科的知识体系，数据安全、网络安全、匿名化处理等技术概念需要在法律规范层面得到</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165100</wp:posOffset>
            </wp:positionV>
            <wp:extent cy="25400" cx="1435100"/>
            <wp:effectExtent b="0" r="0" t="0" l="0"/>
            <wp:wrapTopAndBottom/>
            <wp:docPr name="note_line_image6.jpeg" id="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6.jpeg" id="6"/>
                    <pic:cNvPicPr/>
                  </pic:nvPicPr>
                  <pic:blipFill>
                    <a:blip r:embed="rId10"/>
                    <a:stretch>
                      <a:fillRect/>
                    </a:stretch>
                  </pic:blipFill>
                  <pic:spPr>
                    <a:xfrm>
                      <a:off y="0" x="0"/>
                      <a:ext cy="25400" cx="1435100"/>
                    </a:xfrm>
                    <a:prstGeom prst="rect">
                      <a:avLst/>
                    </a:prstGeom>
                  </pic:spPr>
                </pic:pic>
              </a:graphicData>
            </a:graphic>
            <wp14:sizeRelH relativeFrom="margin">
              <wp14:pctWidth>0</wp14:pctWidth>
            </wp14:sizeRelH>
            <wp14:sizeRelV relativeFrom="margin">
              <wp14:pctHeight>0</wp14:pctHeight>
            </wp14:sizeRelV>
          </wp:anchor>
        </w:drawing>
      </w:r>
    </w:p>
    <w:p>
      <w:pPr>
        <w:spacing w:before="264" w:after="0" w:lineRule="auto"/>
        <w:ind w:firstLineChars="88"/>
        <w:jc w:val="left"/>
      </w:pPr>
      <w:r>
        <w:rPr>
          <w:rFonts w:ascii="FZSSK--GBK1-0" w:hAnsi="FZSSK--GBK1-0" w:cs="FZSSK--GBK1-0" w:eastAsia="FZSSK--GBK1-0"/>
          <w:b w:val="false"/>
          <w:color w:val="231f20"/>
          <w:sz w:val="20"/>
          <w:u w:val="none"/>
        </w:rPr>
        <w:t>〔 3〕参见王迁：《如何研究新技术对法律制度提出的问题？——以研究人工智能对知识产权制度的影响为例》，载《东方法学》</w:t>
      </w:r>
      <w:r>
        <w:rPr>
          <w:rFonts w:ascii="FZSSK--GBK1-0" w:hAnsi="FZSSK--GBK1-0" w:cs="FZSSK--GBK1-0" w:eastAsia="FZSSK--GBK1-0"/>
          <w:b w:val="false"/>
          <w:color w:val="231f20"/>
          <w:sz w:val="20"/>
          <w:u w:val="none"/>
        </w:rPr>
        <w:t>2019年第 5期，第 23-24页。</w:t>
      </w:r>
    </w:p>
    <w:p>
      <w:pPr>
        <w:spacing w:before="97" w:after="0" w:lineRule="auto"/>
        <w:ind w:leftChars="127"/>
        <w:jc w:val="left"/>
      </w:pPr>
      <w:r>
        <w:rPr>
          <w:rFonts w:ascii="FZSSK--GBK1-0" w:hAnsi="FZSSK--GBK1-0" w:cs="FZSSK--GBK1-0" w:eastAsia="FZSSK--GBK1-0"/>
          <w:b w:val="false"/>
          <w:color w:val="231f20"/>
          <w:sz w:val="20"/>
          <w:u w:val="none"/>
        </w:rPr>
        <w:t>〔 4〕参见代伟：《法律与科技的社会科学研究何以可能：一个方法论的追问》，载《中国法律评论》2024年第 2期，第 157-171页。</w:t>
      </w:r>
    </w:p>
    <w:p>
      <w:pPr>
        <w:spacing w:before="53" w:after="0" w:lineRule="auto"/>
        <w:ind w:leftChars="124"/>
        <w:jc w:val="left"/>
      </w:pPr>
      <w:r>
        <w:rPr>
          <w:rFonts w:ascii="FZSSK--GBK1-0" w:hAnsi="FZSSK--GBK1-0" w:cs="FZSSK--GBK1-0" w:eastAsia="FZSSK--GBK1-0"/>
          <w:b w:val="false"/>
          <w:color w:val="231f20"/>
          <w:sz w:val="20"/>
          <w:u w:val="none"/>
        </w:rPr>
        <w:t>〔 5〕参见刘成杰《：人工智能董事法律地位及其信义义务构想——基于强人工智能视角》，载《中州学刊》2024年第 2期，第 80页。</w:t>
      </w:r>
    </w:p>
    <w:p>
      <w:pPr>
        <w:spacing w:before="44" w:after="0" w:lineRule="auto"/>
        <w:ind w:leftChars="130"/>
        <w:jc w:val="left"/>
      </w:pPr>
      <w:r>
        <w:rPr>
          <w:rFonts w:ascii="FZSSK--GBK1-0" w:hAnsi="FZSSK--GBK1-0" w:cs="FZSSK--GBK1-0" w:eastAsia="FZSSK--GBK1-0"/>
          <w:b w:val="false"/>
          <w:color w:val="231f20"/>
          <w:sz w:val="20"/>
          <w:u w:val="none"/>
        </w:rPr>
        <w:t>〔 6〕参见刘智慧：《民法典视域下人工智能法律规制论纲》，载《学术交流》2023年第 9期，第 90-91页。</w:t>
      </w:r>
    </w:p>
    <w:p>
      <w:pPr>
        <w:spacing w:before="62" w:after="9" w:lineRule="auto"/>
        <w:ind w:leftChars="127"/>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 7〕刘艳红：《人工智能法学研究的反智化批判》，载《东方法学》2019年第 5期，第 122页。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3835400</wp:posOffset>
            </wp:positionH>
            <wp:positionV relativeFrom="paragraph">
              <wp:posOffset>0</wp:posOffset>
            </wp:positionV>
            <wp:extent cy="25400" cx="1955800"/>
            <wp:effectExtent b="0" r="0" t="0" l="0"/>
            <wp:wrapTopAndBottom/>
            <wp:docPr name="header_line_image7.jpeg" id="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7.jpeg" id="7"/>
                    <pic:cNvPicPr/>
                  </pic:nvPicPr>
                  <pic:blipFill>
                    <a:blip r:embed="rId11"/>
                    <a:stretch>
                      <a:fillRect/>
                    </a:stretch>
                  </pic:blipFill>
                  <pic:spPr>
                    <a:xfrm>
                      <a:off y="0" x="0"/>
                      <a:ext cy="25400" cx="1955800"/>
                    </a:xfrm>
                    <a:prstGeom prst="rect">
                      <a:avLst/>
                    </a:prstGeom>
                  </pic:spPr>
                </pic:pic>
              </a:graphicData>
            </a:graphic>
            <wp14:sizeRelH relativeFrom="margin">
              <wp14:pctWidth>0</wp14:pctWidth>
            </wp14:sizeRelH>
            <wp14:sizeRelV relativeFrom="margin">
              <wp14:pctHeight>0</wp14:pctHeight>
            </wp14:sizeRelV>
          </wp:anchor>
        </w:drawing>
      </w:r>
    </w:p>
    <w:p>
      <w:pPr>
        <w:spacing w:before="308" w:after="0" w:lineRule="auto"/>
        <w:ind w:leftChars="133"/>
        <w:jc w:val="left"/>
      </w:pPr>
      <w:r>
        <w:rPr>
          <w:rFonts w:ascii="FZSSK--GBK1-0" w:hAnsi="FZSSK--GBK1-0" w:cs="FZSSK--GBK1-0" w:eastAsia="FZSSK--GBK1-0"/>
          <w:b w:val="false"/>
          <w:color w:val="000000"/>
          <w:sz w:val="22"/>
          <w:u w:val="none"/>
        </w:rPr>
        <w:t>明确；二是法律解释的调整，数字技术的创新应用既对现行立法解释产生影响，也对新兴立法提出法</w:t>
      </w:r>
      <w:r>
        <w:rPr>
          <w:rFonts w:ascii="FZSSK--GBK1-0" w:hAnsi="FZSSK--GBK1-0" w:cs="FZSSK--GBK1-0" w:eastAsia="FZSSK--GBK1-0"/>
          <w:b w:val="false"/>
          <w:color w:val="000000"/>
          <w:sz w:val="22"/>
          <w:u w:val="none"/>
        </w:rPr>
        <w:t xml:space="preserve"> 律实施层面的新挑战；三是技术风险的应对，数字技术创新迭代周期缩短，导致既有立法难以有效及</w:t>
      </w:r>
      <w:r>
        <w:rPr>
          <w:rFonts w:ascii="FZSSK--GBK1-0" w:hAnsi="FZSSK--GBK1-0" w:cs="FZSSK--GBK1-0" w:eastAsia="FZSSK--GBK1-0"/>
          <w:b w:val="false"/>
          <w:color w:val="000000"/>
          <w:sz w:val="22"/>
          <w:u w:val="none"/>
        </w:rPr>
        <w:t xml:space="preserve"> 时地回应各类技术问题，数字法学的产生也是为了解决法律稳定性与技术创新性之间的不同步性，相</w:t>
      </w:r>
      <w:r>
        <w:rPr>
          <w:rFonts w:ascii="FZSSK--GBK1-0" w:hAnsi="FZSSK--GBK1-0" w:cs="FZSSK--GBK1-0" w:eastAsia="FZSSK--GBK1-0"/>
          <w:b w:val="false"/>
          <w:color w:val="000000"/>
          <w:sz w:val="22"/>
          <w:u w:val="none"/>
        </w:rPr>
        <w:t xml:space="preserve"> 应的理论研究也多是围绕技术风险预防展开。</w:t>
      </w:r>
    </w:p>
    <w:p>
      <w:pPr>
        <w:spacing w:before="114" w:after="0" w:lineRule="auto"/>
        <w:ind w:leftChars="271"/>
        <w:jc w:val="left"/>
      </w:pPr>
      <w:r>
        <w:rPr>
          <w:rFonts w:ascii="FZSSK--GBK1-0" w:hAnsi="FZSSK--GBK1-0" w:cs="FZSSK--GBK1-0" w:eastAsia="FZSSK--GBK1-0"/>
          <w:b w:val="false"/>
          <w:color w:val="000000"/>
          <w:sz w:val="22"/>
          <w:u w:val="none"/>
        </w:rPr>
        <w:t>（三）数字法学研究范畴的相对确定性：以研究目的为基础</w:t>
      </w:r>
    </w:p>
    <w:p>
      <w:pPr>
        <w:spacing w:before="106" w:after="0" w:lineRule="auto"/>
        <w:ind w:firstLineChars="150" w:leftChars="127"/>
        <w:jc w:val="left"/>
      </w:pPr>
      <w:r>
        <w:rPr>
          <w:rFonts w:ascii="FZSSK--GBK1-0" w:hAnsi="FZSSK--GBK1-0" w:cs="FZSSK--GBK1-0" w:eastAsia="FZSSK--GBK1-0"/>
          <w:b w:val="false"/>
          <w:color w:val="000000"/>
          <w:sz w:val="22"/>
          <w:u w:val="none"/>
        </w:rPr>
        <w:t>数字法学作为一种法学研究形态，客观上难以通过研究客体的类型限定明确具体的研究范畴，而</w:t>
      </w:r>
      <w:r>
        <w:rPr>
          <w:rFonts w:ascii="FZSSK--GBK1-0" w:hAnsi="FZSSK--GBK1-0" w:cs="FZSSK--GBK1-0" w:eastAsia="FZSSK--GBK1-0"/>
          <w:b w:val="false"/>
          <w:color w:val="000000"/>
          <w:sz w:val="22"/>
          <w:u w:val="none"/>
        </w:rPr>
        <w:t xml:space="preserve"> 是需要结合数字法学的研究目的判断相对确定的研究范畴。针对有关数字法学研究范畴不确定的质</w:t>
      </w:r>
      <w:r>
        <w:rPr>
          <w:rFonts w:ascii="FZSSK--GBK1-0" w:hAnsi="FZSSK--GBK1-0" w:cs="FZSSK--GBK1-0" w:eastAsia="FZSSK--GBK1-0"/>
          <w:b w:val="false"/>
          <w:color w:val="000000"/>
          <w:sz w:val="22"/>
          <w:u w:val="none"/>
        </w:rPr>
        <w:t xml:space="preserve"> 疑，可以从以下三个方面予以回应。</w:t>
      </w:r>
    </w:p>
    <w:p>
      <w:pPr>
        <w:spacing w:before="106" w:after="0" w:lineRule="auto"/>
        <w:ind w:firstLineChars="150" w:leftChars="133"/>
        <w:jc w:val="left"/>
      </w:pPr>
      <w:r>
        <w:rPr>
          <w:rFonts w:ascii="FZSSK--GBK1-0" w:hAnsi="FZSSK--GBK1-0" w:cs="FZSSK--GBK1-0" w:eastAsia="FZSSK--GBK1-0"/>
          <w:b w:val="false"/>
          <w:color w:val="000000"/>
          <w:sz w:val="22"/>
          <w:u w:val="none"/>
        </w:rPr>
        <w:t>其一，数字法学既不是“数字+法学”，也不是宽泛意义上的“数字社会法学”。数字法学是以数</w:t>
      </w:r>
      <w:r>
        <w:rPr>
          <w:rFonts w:ascii="FZSSK--GBK1-0" w:hAnsi="FZSSK--GBK1-0" w:cs="FZSSK--GBK1-0" w:eastAsia="FZSSK--GBK1-0"/>
          <w:b w:val="false"/>
          <w:color w:val="000000"/>
          <w:sz w:val="22"/>
          <w:u w:val="none"/>
        </w:rPr>
        <w:t xml:space="preserve"> 字社会中的各类法律关系为视角，但是这些法律关系应当与数字技术创新相关。因为只有数字技术</w:t>
      </w:r>
      <w:r>
        <w:rPr>
          <w:rFonts w:ascii="FZSSK--GBK1-0" w:hAnsi="FZSSK--GBK1-0" w:cs="FZSSK--GBK1-0" w:eastAsia="FZSSK--GBK1-0"/>
          <w:b w:val="false"/>
          <w:color w:val="000000"/>
          <w:sz w:val="22"/>
          <w:u w:val="none"/>
        </w:rPr>
        <w:t xml:space="preserve"> 改变了既有的法律关系内容，才有必要在补全法律概念和调整法律解释层面展开理论研究。例如，数</w:t>
      </w:r>
      <w:r>
        <w:rPr>
          <w:rFonts w:ascii="FZSSK--GBK1-0" w:hAnsi="FZSSK--GBK1-0" w:cs="FZSSK--GBK1-0" w:eastAsia="FZSSK--GBK1-0"/>
          <w:b w:val="false"/>
          <w:color w:val="000000"/>
          <w:sz w:val="22"/>
          <w:u w:val="none"/>
        </w:rPr>
        <w:t xml:space="preserve"> 字技术使得部分玩具娱乐性增强，但倘若没有改变玩具的物理功能，依然可以按照现行的法律概念、</w:t>
      </w:r>
      <w:r>
        <w:rPr>
          <w:rFonts w:ascii="FZSSK--GBK1-0" w:hAnsi="FZSSK--GBK1-0" w:cs="FZSSK--GBK1-0" w:eastAsia="FZSSK--GBK1-0"/>
          <w:b w:val="false"/>
          <w:color w:val="000000"/>
          <w:sz w:val="22"/>
          <w:u w:val="none"/>
        </w:rPr>
        <w:t>法律适用方式解决相应的法律问题，故而不属于数字法学的研究范畴。但是，如果该玩具的实际功能</w:t>
      </w:r>
      <w:r>
        <w:rPr>
          <w:rFonts w:ascii="FZSSK--GBK1-0" w:hAnsi="FZSSK--GBK1-0" w:cs="FZSSK--GBK1-0" w:eastAsia="FZSSK--GBK1-0"/>
          <w:b w:val="false"/>
          <w:color w:val="000000"/>
          <w:sz w:val="22"/>
          <w:u w:val="none"/>
        </w:rPr>
        <w:t xml:space="preserve"> 通过联网实现娱乐教育功能一体化，一旦联网采集儿童个人信息，就可能涉及儿童个人信息保护、玩</w:t>
      </w:r>
      <w:r>
        <w:rPr>
          <w:rFonts w:ascii="FZSSK--GBK1-0" w:hAnsi="FZSSK--GBK1-0" w:cs="FZSSK--GBK1-0" w:eastAsia="FZSSK--GBK1-0"/>
          <w:b w:val="false"/>
          <w:color w:val="000000"/>
          <w:sz w:val="22"/>
          <w:u w:val="none"/>
        </w:rPr>
        <w:t xml:space="preserve"> 具生产商与信息服务提供商之间法律责任分配等新型问题，此时便属于数字法学的研究范畴。</w:t>
      </w:r>
    </w:p>
    <w:p>
      <w:pPr>
        <w:spacing w:before="114" w:after="0" w:lineRule="auto"/>
        <w:ind w:firstLineChars="150" w:leftChars="130"/>
        <w:jc w:val="left"/>
      </w:pPr>
      <w:r>
        <w:rPr>
          <w:rFonts w:ascii="FZSSK--GBK1-0" w:hAnsi="FZSSK--GBK1-0" w:cs="FZSSK--GBK1-0" w:eastAsia="FZSSK--GBK1-0"/>
          <w:b w:val="false"/>
          <w:color w:val="000000"/>
          <w:sz w:val="22"/>
          <w:u w:val="none"/>
        </w:rPr>
        <w:t>其二，数字法学不是“数字技术的法学研究”，数字法学的“数字”一词实指数字时代的基本特征。</w:t>
      </w:r>
      <w:r>
        <w:rPr>
          <w:rFonts w:ascii="FZSSK--GBK1-0" w:hAnsi="FZSSK--GBK1-0" w:cs="FZSSK--GBK1-0" w:eastAsia="FZSSK--GBK1-0"/>
          <w:b w:val="false"/>
          <w:color w:val="000000"/>
          <w:sz w:val="22"/>
          <w:u w:val="none"/>
        </w:rPr>
        <w:t>数字法学的研究范畴容易被误解为针对特定数字技术风险研判和产业保障政策设计，这显然混淆了</w:t>
      </w:r>
      <w:r>
        <w:rPr>
          <w:rFonts w:ascii="FZSSK--GBK1-0" w:hAnsi="FZSSK--GBK1-0" w:cs="FZSSK--GBK1-0" w:eastAsia="FZSSK--GBK1-0"/>
          <w:b w:val="false"/>
          <w:color w:val="000000"/>
          <w:sz w:val="22"/>
          <w:u w:val="none"/>
        </w:rPr>
        <w:t xml:space="preserve"> 数字法学对各类技术创新应用的关注重心。从近年来有关大数据、云计算、区块链、元宇宙、人工智能</w:t>
      </w:r>
      <w:r>
        <w:rPr>
          <w:rFonts w:ascii="FZSSK--GBK1-0" w:hAnsi="FZSSK--GBK1-0" w:cs="FZSSK--GBK1-0" w:eastAsia="FZSSK--GBK1-0"/>
          <w:b w:val="false"/>
          <w:color w:val="000000"/>
          <w:sz w:val="22"/>
          <w:u w:val="none"/>
        </w:rPr>
        <w:t xml:space="preserve"> 等信息技术的研究趋势来看，相关的法学研究普遍经历了从技术应用风险应对到具体法律问题论证</w:t>
      </w:r>
      <w:r>
        <w:rPr>
          <w:rFonts w:ascii="FZSSK--GBK1-0" w:hAnsi="FZSSK--GBK1-0" w:cs="FZSSK--GBK1-0" w:eastAsia="FZSSK--GBK1-0"/>
          <w:b w:val="false"/>
          <w:color w:val="000000"/>
          <w:sz w:val="22"/>
          <w:u w:val="none"/>
        </w:rPr>
        <w:t xml:space="preserve"> 的研究重心变化。这是因为在技术创新初期，面对技术应用及其风险的未知性，相应的理论研究不可</w:t>
      </w:r>
      <w:r>
        <w:rPr>
          <w:rFonts w:ascii="FZSSK--GBK1-0" w:hAnsi="FZSSK--GBK1-0" w:cs="FZSSK--GBK1-0" w:eastAsia="FZSSK--GBK1-0"/>
          <w:b w:val="false"/>
          <w:color w:val="000000"/>
          <w:sz w:val="22"/>
          <w:u w:val="none"/>
        </w:rPr>
        <w:t xml:space="preserve"> 避免地选择对潜在的技术风险进行全面剖析。不过，随着技术应用模式的逐渐成熟，这种全面列举技</w:t>
      </w:r>
      <w:r>
        <w:rPr>
          <w:rFonts w:ascii="FZSSK--GBK1-0" w:hAnsi="FZSSK--GBK1-0" w:cs="FZSSK--GBK1-0" w:eastAsia="FZSSK--GBK1-0"/>
          <w:b w:val="false"/>
          <w:color w:val="000000"/>
          <w:sz w:val="22"/>
          <w:u w:val="none"/>
        </w:rPr>
        <w:t xml:space="preserve"> 术风险并提出法律应对方式的研究模式会逐渐淡化，取而代之的则是对特定法律问题的法律概念和</w:t>
      </w:r>
      <w:r>
        <w:rPr>
          <w:rFonts w:ascii="FZSSK--GBK1-0" w:hAnsi="FZSSK--GBK1-0" w:cs="FZSSK--GBK1-0" w:eastAsia="FZSSK--GBK1-0"/>
          <w:b w:val="false"/>
          <w:color w:val="000000"/>
          <w:sz w:val="22"/>
          <w:u w:val="none"/>
        </w:rPr>
        <w:t xml:space="preserve"> 法律适用方式的重新审视。例如，在区块链技术早期，相当一部分的研究成果是围绕区块链技术应用</w:t>
      </w:r>
      <w:r>
        <w:rPr>
          <w:rFonts w:ascii="FZSSK--GBK1-0" w:hAnsi="FZSSK--GBK1-0" w:cs="FZSSK--GBK1-0" w:eastAsia="FZSSK--GBK1-0"/>
          <w:b w:val="false"/>
          <w:color w:val="000000"/>
          <w:sz w:val="22"/>
          <w:u w:val="none"/>
        </w:rPr>
        <w:t xml:space="preserve"> 对法律体系的各类影响展开论证，但是，随着区块链产业的趋于成熟以及学者们对区块链技术认知方</w:t>
      </w:r>
      <w:r>
        <w:rPr>
          <w:rFonts w:ascii="FZSSK--GBK1-0" w:hAnsi="FZSSK--GBK1-0" w:cs="FZSSK--GBK1-0" w:eastAsia="FZSSK--GBK1-0"/>
          <w:b w:val="false"/>
          <w:color w:val="000000"/>
          <w:sz w:val="22"/>
          <w:u w:val="none"/>
        </w:rPr>
        <w:t xml:space="preserve"> 式的变化，区块链技术的核心功能被定义为“保障数据存储的真实性”和“防篡改”。相应的研究重心</w:t>
      </w:r>
      <w:r>
        <w:rPr>
          <w:rFonts w:ascii="FZSSK--GBK1-0" w:hAnsi="FZSSK--GBK1-0" w:cs="FZSSK--GBK1-0" w:eastAsia="FZSSK--GBK1-0"/>
          <w:b w:val="false"/>
          <w:color w:val="000000"/>
          <w:sz w:val="22"/>
          <w:u w:val="none"/>
        </w:rPr>
        <w:t xml:space="preserve"> 也从各类法律风险的应对问题逐渐聚焦于区块链存证的证据效力问题、区块链上链前后的法律责任</w:t>
      </w:r>
      <w:r>
        <w:rPr>
          <w:rFonts w:ascii="FZSSK--GBK1-0" w:hAnsi="FZSSK--GBK1-0" w:cs="FZSSK--GBK1-0" w:eastAsia="FZSSK--GBK1-0"/>
          <w:b w:val="false"/>
          <w:color w:val="000000"/>
          <w:sz w:val="22"/>
          <w:u w:val="none"/>
        </w:rPr>
        <w:t xml:space="preserve"> 认定问题等内容。</w:t>
      </w:r>
    </w:p>
    <w:p>
      <w:pPr>
        <w:spacing w:before="114" w:after="0" w:lineRule="auto"/>
        <w:ind w:firstLineChars="150" w:leftChars="130"/>
        <w:jc w:val="left"/>
      </w:pPr>
      <w:r>
        <w:rPr>
          <w:rFonts w:ascii="FZSSK--GBK1-0" w:hAnsi="FZSSK--GBK1-0" w:cs="FZSSK--GBK1-0" w:eastAsia="FZSSK--GBK1-0"/>
          <w:b w:val="false"/>
          <w:color w:val="000000"/>
          <w:sz w:val="22"/>
          <w:u w:val="none"/>
        </w:rPr>
        <w:t>其三，数字法学是基于预防型法治理念所形成的研究模式。有关数字法学研究范畴不确定性的</w:t>
      </w:r>
      <w:r>
        <w:rPr>
          <w:rFonts w:ascii="FZSSK--GBK1-0" w:hAnsi="FZSSK--GBK1-0" w:cs="FZSSK--GBK1-0" w:eastAsia="FZSSK--GBK1-0"/>
          <w:b w:val="false"/>
          <w:color w:val="000000"/>
          <w:sz w:val="22"/>
          <w:u w:val="none"/>
        </w:rPr>
        <w:t xml:space="preserve"> 质疑还在于该类研究似乎热衷于各类技术风险的预防、控制与应对，使得法学研究存在“风险研判”</w:t>
      </w:r>
      <w:r>
        <w:rPr>
          <w:rFonts w:ascii="FZSSK--GBK1-0" w:hAnsi="FZSSK--GBK1-0" w:cs="FZSSK--GBK1-0" w:eastAsia="FZSSK--GBK1-0"/>
          <w:b w:val="false"/>
          <w:color w:val="000000"/>
          <w:sz w:val="22"/>
          <w:u w:val="none"/>
        </w:rPr>
        <w:t>的发展误区。事实上，法学研究对技术风险的关注是不可避免的，因为在数字技术创新所形成的“风</w:t>
      </w:r>
      <w:r>
        <w:rPr>
          <w:rFonts w:ascii="FZSSK--GBK1-0" w:hAnsi="FZSSK--GBK1-0" w:cs="FZSSK--GBK1-0" w:eastAsia="FZSSK--GBK1-0"/>
          <w:b w:val="false"/>
          <w:color w:val="000000"/>
          <w:sz w:val="22"/>
          <w:u w:val="none"/>
        </w:rPr>
        <w:t xml:space="preserve"> 险社会”中，风险治理是数字法学当然的研究目的之一。需要澄清的是，风险治理始终贯穿于法学研</w:t>
      </w:r>
      <w:r>
        <w:rPr>
          <w:rFonts w:ascii="FZSSK--GBK1-0" w:hAnsi="FZSSK--GBK1-0" w:cs="FZSSK--GBK1-0" w:eastAsia="FZSSK--GBK1-0"/>
          <w:b w:val="false"/>
          <w:color w:val="000000"/>
          <w:sz w:val="22"/>
          <w:u w:val="none"/>
        </w:rPr>
        <w:t xml:space="preserve"> 究的发展始末，刑法的威慑功能本身就是风险预防和治理的表现形式之一，并且在《国家安全法》等</w:t>
      </w:r>
      <w:r>
        <w:rPr>
          <w:rFonts w:ascii="FZSSK--GBK1-0" w:hAnsi="FZSSK--GBK1-0" w:cs="FZSSK--GBK1-0" w:eastAsia="FZSSK--GBK1-0"/>
          <w:b w:val="false"/>
          <w:color w:val="000000"/>
          <w:sz w:val="22"/>
          <w:u w:val="none"/>
        </w:rPr>
        <w:t xml:space="preserve"> 法律法规中也会提及“监测预警”等具体制度，同样是以风险治理为导向。有学者将预防型法治的实</w:t>
      </w:r>
      <w:r>
        <w:rPr>
          <w:rFonts w:ascii="FZSSK--GBK1-0" w:hAnsi="FZSSK--GBK1-0" w:cs="FZSSK--GBK1-0" w:eastAsia="FZSSK--GBK1-0"/>
          <w:b w:val="false"/>
          <w:color w:val="000000"/>
          <w:sz w:val="22"/>
          <w:u w:val="none"/>
        </w:rPr>
        <w:t xml:space="preserve"> 践形态总结为“初始性预防”“继发性预防”和“复发性预防”三类，〔8〕现代社会更是出现预防型监管</w:t>
      </w:r>
      <w:r>
        <w:rPr>
          <w:rFonts w:ascii="FZSSK--GBK1-0" w:hAnsi="FZSSK--GBK1-0" w:cs="FZSSK--GBK1-0" w:eastAsia="FZSSK--GBK1-0"/>
          <w:b w:val="false"/>
          <w:color w:val="000000"/>
          <w:sz w:val="22"/>
          <w:u w:val="none"/>
        </w:rPr>
        <w:t xml:space="preserve"> 职权与预防型治理义务的扩张趋势。数字法学对技术风险预防和控制的研究重心正是基于此种预防</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241300</wp:posOffset>
            </wp:positionH>
            <wp:positionV relativeFrom="paragraph">
              <wp:posOffset>342900</wp:posOffset>
            </wp:positionV>
            <wp:extent cy="25400" cx="1447800"/>
            <wp:effectExtent b="0" r="0" t="0" l="0"/>
            <wp:wrapTopAndBottom/>
            <wp:docPr name="note_line_image8.jpeg" id="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8.jpeg" id="8"/>
                    <pic:cNvPicPr/>
                  </pic:nvPicPr>
                  <pic:blipFill>
                    <a:blip r:embed="rId12"/>
                    <a:stretch>
                      <a:fillRect/>
                    </a:stretch>
                  </pic:blipFill>
                  <pic:spPr>
                    <a:xfrm>
                      <a:off y="0" x="0"/>
                      <a:ext cy="25400" cx="1447800"/>
                    </a:xfrm>
                    <a:prstGeom prst="rect">
                      <a:avLst/>
                    </a:prstGeom>
                  </pic:spPr>
                </pic:pic>
              </a:graphicData>
            </a:graphic>
            <wp14:sizeRelH relativeFrom="margin">
              <wp14:pctWidth>0</wp14:pctWidth>
            </wp14:sizeRelH>
            <wp14:sizeRelV relativeFrom="margin">
              <wp14:pctHeight>0</wp14:pctHeight>
            </wp14:sizeRelV>
          </wp:anchor>
        </w:drawing>
      </w:r>
    </w:p>
    <w:p>
      <w:pPr>
        <w:spacing w:before="264" w:after="0" w:lineRule="auto"/>
        <w:ind w:leftChars="239"/>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 8〕参见黄文艺：《论预防型法治》，载《法学研究》2024年第 2期，第 20-38页。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50800</wp:posOffset>
            </wp:positionH>
            <wp:positionV relativeFrom="paragraph">
              <wp:posOffset>12700</wp:posOffset>
            </wp:positionV>
            <wp:extent cy="12700" cx="1765300"/>
            <wp:effectExtent b="0" r="0" t="0" l="0"/>
            <wp:wrapTopAndBottom/>
            <wp:docPr name="header_line_image9.jpeg" id="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9.jpeg" id="9"/>
                    <pic:cNvPicPr/>
                  </pic:nvPicPr>
                  <pic:blipFill>
                    <a:blip r:embed="rId13"/>
                    <a:stretch>
                      <a:fillRect/>
                    </a:stretch>
                  </pic:blipFill>
                  <pic:spPr>
                    <a:xfrm>
                      <a:off y="0" x="0"/>
                      <a:ext cy="12700" cx="1765300"/>
                    </a:xfrm>
                    <a:prstGeom prst="rect">
                      <a:avLst/>
                    </a:prstGeom>
                  </pic:spPr>
                </pic:pic>
              </a:graphicData>
            </a:graphic>
            <wp14:sizeRelH relativeFrom="margin">
              <wp14:pctWidth>0</wp14:pctWidth>
            </wp14:sizeRelH>
            <wp14:sizeRelV relativeFrom="margin">
              <wp14:pctHeight>0</wp14:pctHeight>
            </wp14:sizeRelV>
          </wp:anchor>
        </w:drawing>
      </w:r>
    </w:p>
    <w:p>
      <w:pPr>
        <w:spacing w:before="317" w:after="0" w:lineRule="auto"/>
        <w:ind w:leftChars="8"/>
        <w:jc w:val="left"/>
      </w:pPr>
      <w:r>
        <w:rPr>
          <w:rFonts w:ascii="FZSSK--GBK1-0" w:hAnsi="FZSSK--GBK1-0" w:cs="FZSSK--GBK1-0" w:eastAsia="FZSSK--GBK1-0"/>
          <w:b w:val="false"/>
          <w:color w:val="000000"/>
          <w:sz w:val="22"/>
          <w:u w:val="none"/>
        </w:rPr>
        <w:t>型法治理念，客观原因是事前预防数字技术风险远比事后救济更为有效且直接。但是，数字法学同样</w:t>
      </w:r>
      <w:r>
        <w:rPr>
          <w:rFonts w:ascii="FZSSK--GBK1-0" w:hAnsi="FZSSK--GBK1-0" w:cs="FZSSK--GBK1-0" w:eastAsia="FZSSK--GBK1-0"/>
          <w:b w:val="false"/>
          <w:color w:val="000000"/>
          <w:sz w:val="22"/>
          <w:u w:val="none"/>
        </w:rPr>
        <w:t xml:space="preserve"> 强调并不是所有的技术风险都应当纳入自身的研究范畴，而是以可能发生并具有预防必要性的技术</w:t>
      </w:r>
      <w:r>
        <w:rPr>
          <w:rFonts w:ascii="FZSSK--GBK1-0" w:hAnsi="FZSSK--GBK1-0" w:cs="FZSSK--GBK1-0" w:eastAsia="FZSSK--GBK1-0"/>
          <w:b w:val="false"/>
          <w:color w:val="000000"/>
          <w:sz w:val="22"/>
          <w:u w:val="none"/>
        </w:rPr>
        <w:t xml:space="preserve"> 风险为限。技术实践尚未明确人工智能技术的未来动态之前，在理论层面探讨“强人工智能”等技术</w:t>
      </w:r>
      <w:r>
        <w:rPr>
          <w:rFonts w:ascii="FZSSK--GBK1-0" w:hAnsi="FZSSK--GBK1-0" w:cs="FZSSK--GBK1-0" w:eastAsia="FZSSK--GBK1-0"/>
          <w:b w:val="false"/>
          <w:color w:val="000000"/>
          <w:sz w:val="22"/>
          <w:u w:val="none"/>
        </w:rPr>
        <w:t xml:space="preserve"> 风险显然超出了预防型法治的必要限度。假想式技术风险才是使得数字法学陷入研究范畴不确定性</w:t>
      </w:r>
      <w:r>
        <w:rPr>
          <w:rFonts w:ascii="FZSSK--GBK1-0" w:hAnsi="FZSSK--GBK1-0" w:cs="FZSSK--GBK1-0" w:eastAsia="FZSSK--GBK1-0"/>
          <w:b w:val="false"/>
          <w:color w:val="000000"/>
          <w:sz w:val="22"/>
          <w:u w:val="none"/>
        </w:rPr>
        <w:t xml:space="preserve"> 的根源所在，因为这类风险无限制地扩张了实际的研究范畴。</w:t>
      </w:r>
    </w:p>
    <w:p>
      <w:pPr>
        <w:spacing w:before="467" w:after="0" w:lineRule="auto"/>
        <w:jc w:val="center"/>
      </w:pPr>
      <w:r>
        <w:rPr>
          <w:rFonts w:ascii="FZSSK--GBK1-0" w:hAnsi="FZSSK--GBK1-0" w:cs="FZSSK--GBK1-0" w:eastAsia="FZSSK--GBK1-0"/>
          <w:b w:val="false"/>
          <w:color w:val="000000"/>
          <w:sz w:val="30"/>
          <w:u w:val="none"/>
        </w:rPr>
        <w:t>三、数字法学研究范式的误区澄清</w:t>
      </w:r>
    </w:p>
    <w:p>
      <w:pPr>
        <w:spacing w:before="396" w:after="0" w:lineRule="auto"/>
        <w:ind w:leftChars="159"/>
        <w:jc w:val="left"/>
      </w:pPr>
      <w:r>
        <w:rPr>
          <w:rFonts w:ascii="FZSSK--GBK1-0" w:hAnsi="FZSSK--GBK1-0" w:cs="FZSSK--GBK1-0" w:eastAsia="FZSSK--GBK1-0"/>
          <w:b w:val="false"/>
          <w:color w:val="000000"/>
          <w:sz w:val="22"/>
          <w:u w:val="none"/>
        </w:rPr>
        <w:t>（一）质疑与回应：数字法学研究范式的非独立性</w:t>
      </w:r>
    </w:p>
    <w:p>
      <w:pPr>
        <w:spacing w:before="106" w:after="0" w:lineRule="auto"/>
        <w:ind w:firstLineChars="147" w:leftChars="14"/>
        <w:jc w:val="left"/>
      </w:pPr>
      <w:r>
        <w:rPr>
          <w:rFonts w:ascii="FZSSK--GBK1-0" w:hAnsi="FZSSK--GBK1-0" w:cs="FZSSK--GBK1-0" w:eastAsia="FZSSK--GBK1-0"/>
          <w:b w:val="false"/>
          <w:color w:val="000000"/>
          <w:sz w:val="22"/>
          <w:u w:val="none"/>
        </w:rPr>
        <w:t>数字法学面临的另一个质疑点便是研究范式是否具有独立性。数字法学研究往往是以特定的部</w:t>
      </w:r>
      <w:r>
        <w:rPr>
          <w:rFonts w:ascii="FZSSK--GBK1-0" w:hAnsi="FZSSK--GBK1-0" w:cs="FZSSK--GBK1-0" w:eastAsia="FZSSK--GBK1-0"/>
          <w:b w:val="false"/>
          <w:color w:val="000000"/>
          <w:sz w:val="22"/>
          <w:u w:val="none"/>
        </w:rPr>
        <w:t xml:space="preserve"> 门法视角为基础，调整和改造传统的理论学说，这与数字法学自身所标榜的研究范式独立性和创新性</w:t>
      </w:r>
      <w:r>
        <w:rPr>
          <w:rFonts w:ascii="FZSSK--GBK1-0" w:hAnsi="FZSSK--GBK1-0" w:cs="FZSSK--GBK1-0" w:eastAsia="FZSSK--GBK1-0"/>
          <w:b w:val="false"/>
          <w:color w:val="000000"/>
          <w:sz w:val="22"/>
          <w:u w:val="none"/>
        </w:rPr>
        <w:t xml:space="preserve"> 明显不相符合。而且，相应的研究内容本质上也没有脱离部门法的传统研究模式，数字法学的研究路</w:t>
      </w:r>
      <w:r>
        <w:rPr>
          <w:rFonts w:ascii="FZSSK--GBK1-0" w:hAnsi="FZSSK--GBK1-0" w:cs="FZSSK--GBK1-0" w:eastAsia="FZSSK--GBK1-0"/>
          <w:b w:val="false"/>
          <w:color w:val="000000"/>
          <w:sz w:val="22"/>
          <w:u w:val="none"/>
        </w:rPr>
        <w:t xml:space="preserve"> 径更像是部门法研究范式的“数字化”。纵观数字时代法学研究的变化趋势，网络法学、数字法学等概</w:t>
      </w:r>
      <w:r>
        <w:rPr>
          <w:rFonts w:ascii="FZSSK--GBK1-0" w:hAnsi="FZSSK--GBK1-0" w:cs="FZSSK--GBK1-0" w:eastAsia="FZSSK--GBK1-0"/>
          <w:b w:val="false"/>
          <w:color w:val="000000"/>
          <w:sz w:val="22"/>
          <w:u w:val="none"/>
        </w:rPr>
        <w:t xml:space="preserve"> 念始终受到研究范式独立性的质疑。</w:t>
      </w:r>
    </w:p>
    <w:p>
      <w:pPr>
        <w:spacing w:before="79" w:after="0" w:lineRule="auto"/>
        <w:ind w:firstLineChars="147" w:leftChars="11"/>
        <w:jc w:val="left"/>
      </w:pPr>
      <w:r>
        <w:rPr>
          <w:rFonts w:ascii="FZSSK--GBK1-0" w:hAnsi="FZSSK--GBK1-0" w:cs="FZSSK--GBK1-0" w:eastAsia="FZSSK--GBK1-0"/>
          <w:b w:val="false"/>
          <w:color w:val="000000"/>
          <w:sz w:val="22"/>
          <w:u w:val="none"/>
        </w:rPr>
        <w:t>为此，也有不少学者开始总结和列举独属于数字法学的研究模式，以此证成数字法学研究范式的</w:t>
      </w:r>
      <w:r>
        <w:rPr>
          <w:rFonts w:ascii="FZSSK--GBK1-0" w:hAnsi="FZSSK--GBK1-0" w:cs="FZSSK--GBK1-0" w:eastAsia="FZSSK--GBK1-0"/>
          <w:b w:val="false"/>
          <w:color w:val="000000"/>
          <w:sz w:val="22"/>
          <w:u w:val="none"/>
        </w:rPr>
        <w:t xml:space="preserve"> 独立性。“第五范式说”认为数字法学范式是继实验科学范式、理论科学范式、计算科学范式、数据密</w:t>
      </w:r>
      <w:r>
        <w:rPr>
          <w:rFonts w:ascii="FZSSK--GBK1-0" w:hAnsi="FZSSK--GBK1-0" w:cs="FZSSK--GBK1-0" w:eastAsia="FZSSK--GBK1-0"/>
          <w:b w:val="false"/>
          <w:color w:val="000000"/>
          <w:sz w:val="22"/>
          <w:u w:val="none"/>
        </w:rPr>
        <w:t xml:space="preserve"> 集型科学发现范式之后的“第五类范式”，立足于区块链、人工智能等信息技术，融合重构经验认知、</w:t>
      </w:r>
      <w:r>
        <w:rPr>
          <w:rFonts w:ascii="FZSSK--GBK1-0" w:hAnsi="FZSSK--GBK1-0" w:cs="FZSSK--GBK1-0" w:eastAsia="FZSSK--GBK1-0"/>
          <w:b w:val="false"/>
          <w:color w:val="000000"/>
          <w:sz w:val="22"/>
          <w:u w:val="none"/>
        </w:rPr>
        <w:t>模型、仿真、数据等方法，“探寻解决数字社会发展‘时代之问’的答案”〔9〕。“实验科学说”则主张数字</w:t>
      </w:r>
      <w:r>
        <w:rPr>
          <w:rFonts w:ascii="FZSSK--GBK1-0" w:hAnsi="FZSSK--GBK1-0" w:cs="FZSSK--GBK1-0" w:eastAsia="FZSSK--GBK1-0"/>
          <w:b w:val="false"/>
          <w:color w:val="000000"/>
          <w:sz w:val="22"/>
          <w:u w:val="none"/>
        </w:rPr>
        <w:t xml:space="preserve"> 法学研究的特殊性和独立性在于法学开始与其他学科知识体系融合，从定性研究扩展至定量研究。</w:t>
      </w:r>
      <w:r>
        <w:rPr>
          <w:rFonts w:ascii="FZSSK--GBK1-0" w:hAnsi="FZSSK--GBK1-0" w:cs="FZSSK--GBK1-0" w:eastAsia="FZSSK--GBK1-0"/>
          <w:b w:val="false"/>
          <w:color w:val="000000"/>
          <w:sz w:val="22"/>
          <w:u w:val="none"/>
        </w:rPr>
        <w:t>换言之，大数据时代法学研究正在通过统计模型、机器学习等自然科学研究工具实现“自科法学”的</w:t>
      </w:r>
      <w:r>
        <w:rPr>
          <w:rFonts w:ascii="FZSSK--GBK1-0" w:hAnsi="FZSSK--GBK1-0" w:cs="FZSSK--GBK1-0" w:eastAsia="FZSSK--GBK1-0"/>
          <w:b w:val="false"/>
          <w:color w:val="000000"/>
          <w:sz w:val="22"/>
          <w:u w:val="none"/>
        </w:rPr>
        <w:t xml:space="preserve"> 新型研究范式。〔10〕并且，基于此种认知，部分学者也开始主张数字法学研究应当引入实验方法，具</w:t>
      </w:r>
      <w:r>
        <w:rPr>
          <w:rFonts w:ascii="FZSSK--GBK1-0" w:hAnsi="FZSSK--GBK1-0" w:cs="FZSSK--GBK1-0" w:eastAsia="FZSSK--GBK1-0"/>
          <w:b w:val="false"/>
          <w:color w:val="000000"/>
          <w:sz w:val="22"/>
          <w:u w:val="none"/>
        </w:rPr>
        <w:t xml:space="preserve"> 体包括但不限于“搭建数字法治虚拟仿真系统”“测试统一的法律推理知识图谱开发、维护和更新平</w:t>
      </w:r>
      <w:r>
        <w:rPr>
          <w:rFonts w:ascii="FZSSK--GBK1-0" w:hAnsi="FZSSK--GBK1-0" w:cs="FZSSK--GBK1-0" w:eastAsia="FZSSK--GBK1-0"/>
          <w:b w:val="false"/>
          <w:color w:val="000000"/>
          <w:sz w:val="22"/>
          <w:u w:val="none"/>
        </w:rPr>
        <w:t xml:space="preserve"> 台”“开发立法智能化审查系统”等。〔11〕“知识融合说”则认为数字法学经历了“从既有理论解决新</w:t>
      </w:r>
      <w:r>
        <w:rPr>
          <w:rFonts w:ascii="FZSSK--GBK1-0" w:hAnsi="FZSSK--GBK1-0" w:cs="FZSSK--GBK1-0" w:eastAsia="FZSSK--GBK1-0"/>
          <w:b w:val="false"/>
          <w:color w:val="000000"/>
          <w:sz w:val="22"/>
          <w:u w:val="none"/>
        </w:rPr>
        <w:t xml:space="preserve"> 问题——形成新的理论分析框架——进行新型理论命题提炼——系统性的理论创立”的演进过程，其</w:t>
      </w:r>
      <w:r>
        <w:rPr>
          <w:rFonts w:ascii="FZSSK--GBK1-0" w:hAnsi="FZSSK--GBK1-0" w:cs="FZSSK--GBK1-0" w:eastAsia="FZSSK--GBK1-0"/>
          <w:b w:val="false"/>
          <w:color w:val="000000"/>
          <w:sz w:val="22"/>
          <w:u w:val="none"/>
        </w:rPr>
        <w:t xml:space="preserve"> 研究范式的独特性在于“基于数字知识体系的多学科融合式研究路径”〔12〕。</w:t>
      </w:r>
    </w:p>
    <w:p>
      <w:pPr>
        <w:spacing w:before="97" w:after="0" w:lineRule="auto"/>
        <w:ind w:firstLineChars="147" w:leftChars="14"/>
        <w:jc w:val="left"/>
      </w:pPr>
      <w:r>
        <w:rPr>
          <w:rFonts w:ascii="FZSSK--GBK1-0" w:hAnsi="FZSSK--GBK1-0" w:cs="FZSSK--GBK1-0" w:eastAsia="FZSSK--GBK1-0"/>
          <w:b w:val="false"/>
          <w:color w:val="000000"/>
          <w:sz w:val="22"/>
          <w:u w:val="none"/>
        </w:rPr>
        <w:t>不过，从现有的争议来看，学者们对于数字法学定位仍存在诸多争议，进而在具体的学说探讨中</w:t>
      </w:r>
      <w:r>
        <w:rPr>
          <w:rFonts w:ascii="FZSSK--GBK1-0" w:hAnsi="FZSSK--GBK1-0" w:cs="FZSSK--GBK1-0" w:eastAsia="FZSSK--GBK1-0"/>
          <w:b w:val="false"/>
          <w:color w:val="000000"/>
          <w:sz w:val="22"/>
          <w:u w:val="none"/>
        </w:rPr>
        <w:t xml:space="preserve"> 出现预设前提的差异性。部分学者将数字法学本身作为一种独立的法学范式予以理解，指出“第五范</w:t>
      </w:r>
      <w:r>
        <w:rPr>
          <w:rFonts w:ascii="FZSSK--GBK1-0" w:hAnsi="FZSSK--GBK1-0" w:cs="FZSSK--GBK1-0" w:eastAsia="FZSSK--GBK1-0"/>
          <w:b w:val="false"/>
          <w:color w:val="000000"/>
          <w:sz w:val="22"/>
          <w:u w:val="none"/>
        </w:rPr>
        <w:t xml:space="preserve"> 式说”和“知识融合说”所对应的研究方法和社会形态两种分析进路无法支撑数字法学成为独立的研</w:t>
      </w:r>
      <w:r>
        <w:rPr>
          <w:rFonts w:ascii="FZSSK--GBK1-0" w:hAnsi="FZSSK--GBK1-0" w:cs="FZSSK--GBK1-0" w:eastAsia="FZSSK--GBK1-0"/>
          <w:b w:val="false"/>
          <w:color w:val="000000"/>
          <w:sz w:val="22"/>
          <w:u w:val="none"/>
        </w:rPr>
        <w:t xml:space="preserve"> 究范式，因为两者对于“数字”概念的解释具有模糊性，研究方法进路本质上是把数字社会限定为有</w:t>
      </w:r>
      <w:r>
        <w:rPr>
          <w:rFonts w:ascii="FZSSK--GBK1-0" w:hAnsi="FZSSK--GBK1-0" w:cs="FZSSK--GBK1-0" w:eastAsia="FZSSK--GBK1-0"/>
          <w:b w:val="false"/>
          <w:color w:val="000000"/>
          <w:sz w:val="22"/>
          <w:u w:val="none"/>
        </w:rPr>
        <w:t xml:space="preserve"> 关“数据问题”“权力问题”的研究活动，社会形态进路则是把“数字”概念解释为技术体验，而非确</w:t>
      </w:r>
      <w:r>
        <w:rPr>
          <w:rFonts w:ascii="FZSSK--GBK1-0" w:hAnsi="FZSSK--GBK1-0" w:cs="FZSSK--GBK1-0" w:eastAsia="FZSSK--GBK1-0"/>
          <w:b w:val="false"/>
          <w:color w:val="000000"/>
          <w:sz w:val="22"/>
          <w:u w:val="none"/>
        </w:rPr>
        <w:t xml:space="preserve"> 切的学术概念。〔13〕但是，这些学说争议背后所涉及的“研究范式”“数字法学”等前提性基础概念并</w:t>
      </w:r>
      <w:r>
        <w:rPr>
          <w:rFonts w:ascii="FZSSK--GBK1-0" w:hAnsi="FZSSK--GBK1-0" w:cs="FZSSK--GBK1-0" w:eastAsia="FZSSK--GBK1-0"/>
          <w:b w:val="false"/>
          <w:color w:val="000000"/>
          <w:sz w:val="22"/>
          <w:u w:val="none"/>
        </w:rPr>
        <w:t xml:space="preserve"> 不具有一致性。例如，将数字法学理解为基于社会形态产生的研究形态，此时的“数字法学”概念并</w:t>
      </w:r>
      <w:r>
        <w:rPr>
          <w:rFonts w:ascii="FZSSK--GBK1-0" w:hAnsi="FZSSK--GBK1-0" w:cs="FZSSK--GBK1-0" w:eastAsia="FZSSK--GBK1-0"/>
          <w:b w:val="false"/>
          <w:color w:val="000000"/>
          <w:sz w:val="22"/>
          <w:u w:val="none"/>
        </w:rPr>
        <w:t xml:space="preserve"> 不是独立的法学研究范式，而是一种法学研究模式的概念指称。此外，对于数字法学是传统法学研究</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127000</wp:posOffset>
            </wp:positionV>
            <wp:extent cy="25400" cx="1447800"/>
            <wp:effectExtent b="0" r="0" t="0" l="0"/>
            <wp:wrapTopAndBottom/>
            <wp:docPr name="note_line_image10.jpeg" id="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0.jpeg" id="10"/>
                    <pic:cNvPicPr/>
                  </pic:nvPicPr>
                  <pic:blipFill>
                    <a:blip r:embed="rId14"/>
                    <a:stretch>
                      <a:fillRect/>
                    </a:stretch>
                  </pic:blipFill>
                  <pic:spPr>
                    <a:xfrm>
                      <a:off y="0" x="0"/>
                      <a:ext cy="25400" cx="1447800"/>
                    </a:xfrm>
                    <a:prstGeom prst="rect">
                      <a:avLst/>
                    </a:prstGeom>
                  </pic:spPr>
                </pic:pic>
              </a:graphicData>
            </a:graphic>
            <wp14:sizeRelH relativeFrom="margin">
              <wp14:pctWidth>0</wp14:pctWidth>
            </wp14:sizeRelH>
            <wp14:sizeRelV relativeFrom="margin">
              <wp14:pctHeight>0</wp14:pctHeight>
            </wp14:sizeRelV>
          </wp:anchor>
        </w:drawing>
      </w:r>
    </w:p>
    <w:p>
      <w:pPr>
        <w:spacing w:before="273" w:after="0" w:lineRule="auto"/>
        <w:ind w:leftChars="124"/>
        <w:jc w:val="left"/>
      </w:pPr>
      <w:r>
        <w:rPr>
          <w:rFonts w:ascii="SimSun" w:hAnsi="SimSun" w:cs="SimSun" w:eastAsia="SimSun"/>
          <w:b w:val="false"/>
          <w:color w:val="231f20"/>
          <w:sz w:val="20"/>
          <w:u w:val="none"/>
        </w:rPr>
        <w:t>〔 9〕杨东、高一乘：《建构中国自主知识体系：数字法学范式》，载《法学杂志》2023年第 2期，第 30-31页。</w:t>
      </w:r>
    </w:p>
    <w:p>
      <w:pPr>
        <w:spacing w:before="53" w:after="0" w:lineRule="auto"/>
        <w:ind w:leftChars="124"/>
        <w:jc w:val="left"/>
      </w:pPr>
      <w:r>
        <w:rPr>
          <w:rFonts w:ascii="FZSSK--GBK1-0" w:hAnsi="FZSSK--GBK1-0" w:cs="FZSSK--GBK1-0" w:eastAsia="FZSSK--GBK1-0"/>
          <w:b w:val="false"/>
          <w:color w:val="231f20"/>
          <w:sz w:val="20"/>
          <w:u w:val="none"/>
        </w:rPr>
        <w:t>〔10〕参见左卫民：《大数据时代法学研究的谱系面向：自科法学？》，载《政法论坛》2022年第 6期，第 33页。</w:t>
      </w:r>
    </w:p>
    <w:p>
      <w:pPr>
        <w:spacing w:before="44" w:after="0" w:lineRule="auto"/>
        <w:ind w:leftChars="130"/>
        <w:jc w:val="left"/>
      </w:pPr>
      <w:r>
        <w:rPr>
          <w:rFonts w:ascii="FZSSK--GBK1-0" w:hAnsi="FZSSK--GBK1-0" w:cs="FZSSK--GBK1-0" w:eastAsia="FZSSK--GBK1-0"/>
          <w:b w:val="false"/>
          <w:color w:val="231f20"/>
          <w:sz w:val="20"/>
          <w:u w:val="none"/>
        </w:rPr>
        <w:t>〔11〕参见胡铭：《数字法学研究的实验方法与风险防控》，载《华东政法大学学报》2023年第 1期，第 56页。</w:t>
      </w:r>
    </w:p>
    <w:p>
      <w:pPr>
        <w:spacing w:before="70" w:after="0" w:lineRule="auto"/>
        <w:ind w:leftChars="118"/>
        <w:jc w:val="left"/>
      </w:pPr>
      <w:r>
        <w:rPr>
          <w:rFonts w:ascii="FZSSK--GBK1-0" w:hAnsi="FZSSK--GBK1-0" w:cs="FZSSK--GBK1-0" w:eastAsia="FZSSK--GBK1-0"/>
          <w:b w:val="false"/>
          <w:color w:val="231f20"/>
          <w:sz w:val="20"/>
          <w:u w:val="none"/>
        </w:rPr>
        <w:t>〔12〕马长山：《数字法学的理论表达》，载《中国法学》2022年第 3期，第 141-142页。</w:t>
      </w:r>
    </w:p>
    <w:p>
      <w:pPr>
        <w:spacing w:before="70" w:after="9" w:lineRule="auto"/>
        <w:ind w:leftChars="127"/>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〔13〕参见宋维志：《数字法学真的来了吗？》，载《现代法学》2024年第 1期，第 87-91页。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3822700</wp:posOffset>
            </wp:positionH>
            <wp:positionV relativeFrom="paragraph">
              <wp:posOffset>0</wp:posOffset>
            </wp:positionV>
            <wp:extent cy="25400" cx="1968500"/>
            <wp:effectExtent b="0" r="0" t="0" l="0"/>
            <wp:wrapTopAndBottom/>
            <wp:docPr name="header_line_image11.jpeg" id="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1.jpeg" id="11"/>
                    <pic:cNvPicPr/>
                  </pic:nvPicPr>
                  <pic:blipFill>
                    <a:blip r:embed="rId15"/>
                    <a:stretch>
                      <a:fillRect/>
                    </a:stretch>
                  </pic:blipFill>
                  <pic:spPr>
                    <a:xfrm>
                      <a:off y="0" x="0"/>
                      <a:ext cy="25400" cx="1968500"/>
                    </a:xfrm>
                    <a:prstGeom prst="rect">
                      <a:avLst/>
                    </a:prstGeom>
                  </pic:spPr>
                </pic:pic>
              </a:graphicData>
            </a:graphic>
            <wp14:sizeRelH relativeFrom="margin">
              <wp14:pctWidth>0</wp14:pctWidth>
            </wp14:sizeRelH>
            <wp14:sizeRelV relativeFrom="margin">
              <wp14:pctHeight>0</wp14:pctHeight>
            </wp14:sizeRelV>
          </wp:anchor>
        </w:drawing>
      </w:r>
    </w:p>
    <w:p>
      <w:pPr>
        <w:spacing w:before="343" w:after="0" w:lineRule="auto"/>
        <w:ind w:leftChars="127"/>
        <w:jc w:val="left"/>
      </w:pPr>
      <w:r>
        <w:rPr>
          <w:rFonts w:ascii="FZSSK--GBK1-0" w:hAnsi="FZSSK--GBK1-0" w:cs="FZSSK--GBK1-0" w:eastAsia="FZSSK--GBK1-0"/>
          <w:b w:val="false"/>
          <w:color w:val="000000"/>
          <w:sz w:val="22"/>
          <w:u w:val="none"/>
        </w:rPr>
        <w:t>与统计学等量化研究相结合的主张，也有学者认为这类将法律实证研究解释为数字法学领域全新方</w:t>
      </w:r>
      <w:r>
        <w:rPr>
          <w:rFonts w:ascii="FZSSK--GBK1-0" w:hAnsi="FZSSK--GBK1-0" w:cs="FZSSK--GBK1-0" w:eastAsia="FZSSK--GBK1-0"/>
          <w:b w:val="false"/>
          <w:color w:val="000000"/>
          <w:sz w:val="22"/>
          <w:u w:val="none"/>
        </w:rPr>
        <w:t xml:space="preserve"> 法、范式的论断属于对“定量研究学术脉络”的误解：法律数据科学、计算法学等本质上是有关数据相</w:t>
      </w:r>
      <w:r>
        <w:rPr>
          <w:rFonts w:ascii="FZSSK--GBK1-0" w:hAnsi="FZSSK--GBK1-0" w:cs="FZSSK--GBK1-0" w:eastAsia="FZSSK--GBK1-0"/>
          <w:b w:val="false"/>
          <w:color w:val="000000"/>
          <w:sz w:val="22"/>
          <w:u w:val="none"/>
        </w:rPr>
        <w:t xml:space="preserve"> 关性、因果性的实证分析，在数字法学等概念提出之前就已经客观存在；而基于数据分析对未来行为</w:t>
      </w:r>
      <w:r>
        <w:rPr>
          <w:rFonts w:ascii="FZSSK--GBK1-0" w:hAnsi="FZSSK--GBK1-0" w:cs="FZSSK--GBK1-0" w:eastAsia="FZSSK--GBK1-0"/>
          <w:b w:val="false"/>
          <w:color w:val="000000"/>
          <w:sz w:val="22"/>
          <w:u w:val="none"/>
        </w:rPr>
        <w:t xml:space="preserve"> 进行量化预测，则需要前述两类实证分析结果，实际的研究活动归属于人工智能机器学习可能更为恰</w:t>
      </w:r>
      <w:r>
        <w:rPr>
          <w:rFonts w:ascii="FZSSK--GBK1-0" w:hAnsi="FZSSK--GBK1-0" w:cs="FZSSK--GBK1-0" w:eastAsia="FZSSK--GBK1-0"/>
          <w:b w:val="false"/>
          <w:color w:val="000000"/>
          <w:sz w:val="22"/>
          <w:u w:val="none"/>
        </w:rPr>
        <w:t xml:space="preserve"> 当。〔14〕</w:t>
      </w:r>
    </w:p>
    <w:p>
      <w:pPr>
        <w:spacing w:before="132" w:after="0" w:lineRule="auto"/>
        <w:ind w:leftChars="271"/>
        <w:jc w:val="left"/>
      </w:pPr>
      <w:r>
        <w:rPr>
          <w:rFonts w:ascii="FZSSK--GBK1-0" w:hAnsi="FZSSK--GBK1-0" w:cs="FZSSK--GBK1-0" w:eastAsia="FZSSK--GBK1-0"/>
          <w:b w:val="false"/>
          <w:color w:val="000000"/>
          <w:sz w:val="22"/>
          <w:u w:val="none"/>
        </w:rPr>
        <w:t>（二）数字法学研究范式的概念内涵</w:t>
      </w:r>
    </w:p>
    <w:p>
      <w:pPr>
        <w:spacing w:before="141" w:after="0" w:lineRule="auto"/>
        <w:ind w:firstLineChars="150" w:leftChars="130"/>
        <w:jc w:val="left"/>
      </w:pPr>
      <w:r>
        <w:rPr>
          <w:rFonts w:ascii="FZSSK--GBK1-0" w:hAnsi="FZSSK--GBK1-0" w:cs="FZSSK--GBK1-0" w:eastAsia="FZSSK--GBK1-0"/>
          <w:b w:val="false"/>
          <w:color w:val="000000"/>
          <w:sz w:val="22"/>
          <w:u w:val="none"/>
        </w:rPr>
        <w:t>法学领域的“范式”概念通常被用来描述规律、理论、标准和方法等在内的一整套研究共识。“研</w:t>
      </w:r>
      <w:r>
        <w:rPr>
          <w:rFonts w:ascii="FZSSK--GBK1-0" w:hAnsi="FZSSK--GBK1-0" w:cs="FZSSK--GBK1-0" w:eastAsia="FZSSK--GBK1-0"/>
          <w:b w:val="false"/>
          <w:color w:val="000000"/>
          <w:sz w:val="22"/>
          <w:u w:val="none"/>
        </w:rPr>
        <w:t xml:space="preserve"> 究范式”常与“研究方法”等概念混同适用，尚未形成严格意义上的内涵和外延。在现有的研究成果</w:t>
      </w:r>
      <w:r>
        <w:rPr>
          <w:rFonts w:ascii="FZSSK--GBK1-0" w:hAnsi="FZSSK--GBK1-0" w:cs="FZSSK--GBK1-0" w:eastAsia="FZSSK--GBK1-0"/>
          <w:b w:val="false"/>
          <w:color w:val="000000"/>
          <w:sz w:val="22"/>
          <w:u w:val="none"/>
        </w:rPr>
        <w:t xml:space="preserve"> 中，法教义学范式、社科法学范式、法理主题论范式、系统论范式、实践主义范式、混合式法学范式等各</w:t>
      </w:r>
      <w:r>
        <w:rPr>
          <w:rFonts w:ascii="FZSSK--GBK1-0" w:hAnsi="FZSSK--GBK1-0" w:cs="FZSSK--GBK1-0" w:eastAsia="FZSSK--GBK1-0"/>
          <w:b w:val="false"/>
          <w:color w:val="000000"/>
          <w:sz w:val="22"/>
          <w:u w:val="none"/>
        </w:rPr>
        <w:t xml:space="preserve"> 类范式概念往往被置于同一维度进行论证。〔15〕此外，在部门法领域，“研究范式”也被用于指代整个</w:t>
      </w:r>
      <w:r>
        <w:rPr>
          <w:rFonts w:ascii="FZSSK--GBK1-0" w:hAnsi="FZSSK--GBK1-0" w:cs="FZSSK--GBK1-0" w:eastAsia="FZSSK--GBK1-0"/>
          <w:b w:val="false"/>
          <w:color w:val="000000"/>
          <w:sz w:val="22"/>
          <w:u w:val="none"/>
        </w:rPr>
        <w:t xml:space="preserve"> 部门法的研究框架和研究体系，如在经济法领域，经济法范式的基本内容包括“经济法的基础”“经济</w:t>
      </w:r>
      <w:r>
        <w:rPr>
          <w:rFonts w:ascii="FZSSK--GBK1-0" w:hAnsi="FZSSK--GBK1-0" w:cs="FZSSK--GBK1-0" w:eastAsia="FZSSK--GBK1-0"/>
          <w:b w:val="false"/>
          <w:color w:val="000000"/>
          <w:sz w:val="22"/>
          <w:u w:val="none"/>
        </w:rPr>
        <w:t xml:space="preserve"> 法的本质”“经济法的对象”“经济法的体系”“经济法的内容”等要素。〔16〕</w:t>
      </w:r>
    </w:p>
    <w:p>
      <w:pPr>
        <w:spacing w:before="132" w:after="0" w:lineRule="auto"/>
        <w:ind w:firstLineChars="150" w:leftChars="130"/>
        <w:jc w:val="left"/>
      </w:pPr>
      <w:r>
        <w:rPr>
          <w:rFonts w:ascii="FZSSK--GBK1-0" w:hAnsi="FZSSK--GBK1-0" w:cs="FZSSK--GBK1-0" w:eastAsia="FZSSK--GBK1-0"/>
          <w:b w:val="false"/>
          <w:color w:val="000000"/>
          <w:sz w:val="22"/>
          <w:u w:val="none"/>
        </w:rPr>
        <w:t>按照前述的概念用法，在将“数字法学”概念解释为数字时代法学研究的另一种研究模式或研究</w:t>
      </w:r>
      <w:r>
        <w:rPr>
          <w:rFonts w:ascii="FZSSK--GBK1-0" w:hAnsi="FZSSK--GBK1-0" w:cs="FZSSK--GBK1-0" w:eastAsia="FZSSK--GBK1-0"/>
          <w:b w:val="false"/>
          <w:color w:val="000000"/>
          <w:sz w:val="22"/>
          <w:u w:val="none"/>
        </w:rPr>
        <w:t xml:space="preserve"> 形态后，“数字法学”显然不能与“法学研究范式”予以等同。对于学界的相关质疑，也可以通过“范式”</w:t>
      </w:r>
      <w:r>
        <w:rPr>
          <w:rFonts w:ascii="FZSSK--GBK1-0" w:hAnsi="FZSSK--GBK1-0" w:cs="FZSSK--GBK1-0" w:eastAsia="FZSSK--GBK1-0"/>
          <w:b w:val="false"/>
          <w:color w:val="000000"/>
          <w:sz w:val="22"/>
          <w:u w:val="none"/>
        </w:rPr>
        <w:t>的概念特征予以澄清。</w:t>
      </w:r>
    </w:p>
    <w:p>
      <w:pPr>
        <w:spacing w:before="114" w:after="0" w:lineRule="auto"/>
        <w:ind w:firstLineChars="150" w:leftChars="133"/>
        <w:jc w:val="left"/>
      </w:pPr>
      <w:r>
        <w:rPr>
          <w:rFonts w:ascii="FZSSK--GBK1-0" w:hAnsi="FZSSK--GBK1-0" w:cs="FZSSK--GBK1-0" w:eastAsia="FZSSK--GBK1-0"/>
          <w:b w:val="false"/>
          <w:color w:val="000000"/>
          <w:sz w:val="22"/>
          <w:u w:val="none"/>
        </w:rPr>
        <w:t>其一，数字法学仍然属于法学学科，即便采用了多学科知识体系融合的研究方法，也无法否定数</w:t>
      </w:r>
      <w:r>
        <w:rPr>
          <w:rFonts w:ascii="FZSSK--GBK1-0" w:hAnsi="FZSSK--GBK1-0" w:cs="FZSSK--GBK1-0" w:eastAsia="FZSSK--GBK1-0"/>
          <w:b w:val="false"/>
          <w:color w:val="000000"/>
          <w:sz w:val="22"/>
          <w:u w:val="none"/>
        </w:rPr>
        <w:t xml:space="preserve"> 字法学采用传统法学理论的必然性。法学学科之所以能够成为有别于其他学科的独立学科，是因为</w:t>
      </w:r>
      <w:r>
        <w:rPr>
          <w:rFonts w:ascii="FZSSK--GBK1-0" w:hAnsi="FZSSK--GBK1-0" w:cs="FZSSK--GBK1-0" w:eastAsia="FZSSK--GBK1-0"/>
          <w:b w:val="false"/>
          <w:color w:val="000000"/>
          <w:sz w:val="22"/>
          <w:u w:val="none"/>
        </w:rPr>
        <w:t xml:space="preserve"> 基于实践积累所形成的研究对象、研究内容、研究范式等要素是开展任何类型法学研究不可能抛弃的</w:t>
      </w:r>
      <w:r>
        <w:rPr>
          <w:rFonts w:ascii="FZSSK--GBK1-0" w:hAnsi="FZSSK--GBK1-0" w:cs="FZSSK--GBK1-0" w:eastAsia="FZSSK--GBK1-0"/>
          <w:b w:val="false"/>
          <w:color w:val="000000"/>
          <w:sz w:val="22"/>
          <w:u w:val="none"/>
        </w:rPr>
        <w:t xml:space="preserve"> 研究范式。在过去的定量研究中，区分究竟是法学还是经管类论文的核心标准在于其是否仅仅停留</w:t>
      </w:r>
      <w:r>
        <w:rPr>
          <w:rFonts w:ascii="FZSSK--GBK1-0" w:hAnsi="FZSSK--GBK1-0" w:cs="FZSSK--GBK1-0" w:eastAsia="FZSSK--GBK1-0"/>
          <w:b w:val="false"/>
          <w:color w:val="000000"/>
          <w:sz w:val="22"/>
          <w:u w:val="none"/>
        </w:rPr>
        <w:t xml:space="preserve"> 于纯粹的数量统计和数据分析。法律实证研究的内在逻辑应当是根据数据相关性等量化结果分析和</w:t>
      </w:r>
      <w:r>
        <w:rPr>
          <w:rFonts w:ascii="FZSSK--GBK1-0" w:hAnsi="FZSSK--GBK1-0" w:cs="FZSSK--GBK1-0" w:eastAsia="FZSSK--GBK1-0"/>
          <w:b w:val="false"/>
          <w:color w:val="000000"/>
          <w:sz w:val="22"/>
          <w:u w:val="none"/>
        </w:rPr>
        <w:t xml:space="preserve"> 论证相应的法律关系内容，而不是纯粹的数据量化分析。以数字法学采用传统部门法研究模式为由，</w:t>
      </w:r>
      <w:r>
        <w:rPr>
          <w:rFonts w:ascii="FZSSK--GBK1-0" w:hAnsi="FZSSK--GBK1-0" w:cs="FZSSK--GBK1-0" w:eastAsia="FZSSK--GBK1-0"/>
          <w:b w:val="false"/>
          <w:color w:val="000000"/>
          <w:sz w:val="22"/>
          <w:u w:val="none"/>
        </w:rPr>
        <w:t>否定数字法学研究范式的独立性，无异于默认数字法学不属于法学研究范畴。</w:t>
      </w:r>
    </w:p>
    <w:p>
      <w:pPr>
        <w:spacing w:before="114" w:after="0" w:lineRule="auto"/>
        <w:ind w:firstLineChars="150" w:leftChars="130"/>
        <w:jc w:val="left"/>
      </w:pPr>
      <w:r>
        <w:rPr>
          <w:rFonts w:ascii="FZSSK--GBK1-0" w:hAnsi="FZSSK--GBK1-0" w:cs="FZSSK--GBK1-0" w:eastAsia="FZSSK--GBK1-0"/>
          <w:b w:val="false"/>
          <w:color w:val="000000"/>
          <w:sz w:val="22"/>
          <w:u w:val="none"/>
        </w:rPr>
        <w:t>其二，数字法学研究范式的独立性不能简单解释为与所有的法学研究范式都不同，而是应当解释</w:t>
      </w:r>
      <w:r>
        <w:rPr>
          <w:rFonts w:ascii="FZSSK--GBK1-0" w:hAnsi="FZSSK--GBK1-0" w:cs="FZSSK--GBK1-0" w:eastAsia="FZSSK--GBK1-0"/>
          <w:b w:val="false"/>
          <w:color w:val="000000"/>
          <w:sz w:val="22"/>
          <w:u w:val="none"/>
        </w:rPr>
        <w:t xml:space="preserve"> 为数字法学研究路径的创新性。数字法学的研究范畴离不开数字技术创新应用产生的各类社会风险，</w:t>
      </w:r>
      <w:r>
        <w:rPr>
          <w:rFonts w:ascii="FZSSK--GBK1-0" w:hAnsi="FZSSK--GBK1-0" w:cs="FZSSK--GBK1-0" w:eastAsia="FZSSK--GBK1-0"/>
          <w:b w:val="false"/>
          <w:color w:val="000000"/>
          <w:sz w:val="22"/>
          <w:u w:val="none"/>
        </w:rPr>
        <w:t>相应地，研究范式的独立性也是以这些新型社会风险治理实践为依托。相较于传统法学研究所关注</w:t>
      </w:r>
      <w:r>
        <w:rPr>
          <w:rFonts w:ascii="FZSSK--GBK1-0" w:hAnsi="FZSSK--GBK1-0" w:cs="FZSSK--GBK1-0" w:eastAsia="FZSSK--GBK1-0"/>
          <w:b w:val="false"/>
          <w:color w:val="000000"/>
          <w:sz w:val="22"/>
          <w:u w:val="none"/>
        </w:rPr>
        <w:t xml:space="preserve"> 的侵权风险、高危险作业等风险类型而言，数字法学所关注的风险类型具有专业性、不确定性等特征，</w:t>
      </w:r>
      <w:r>
        <w:rPr>
          <w:rFonts w:ascii="FZSSK--GBK1-0" w:hAnsi="FZSSK--GBK1-0" w:cs="FZSSK--GBK1-0" w:eastAsia="FZSSK--GBK1-0"/>
          <w:b w:val="false"/>
          <w:color w:val="000000"/>
          <w:sz w:val="22"/>
          <w:u w:val="none"/>
        </w:rPr>
        <w:t>故而数字法学也需要采用有别于传统法学的研究路径。例如，针对关键信息基础设施运营者这类特</w:t>
      </w:r>
      <w:r>
        <w:rPr>
          <w:rFonts w:ascii="FZSSK--GBK1-0" w:hAnsi="FZSSK--GBK1-0" w:cs="FZSSK--GBK1-0" w:eastAsia="FZSSK--GBK1-0"/>
          <w:b w:val="false"/>
          <w:color w:val="000000"/>
          <w:sz w:val="22"/>
          <w:u w:val="none"/>
        </w:rPr>
        <w:t xml:space="preserve"> 殊的网络运营者，因为其涉及重要数据、核心数据的管理以及基础性社会公共服务的供给，故而需要</w:t>
      </w:r>
      <w:r>
        <w:rPr>
          <w:rFonts w:ascii="FZSSK--GBK1-0" w:hAnsi="FZSSK--GBK1-0" w:cs="FZSSK--GBK1-0" w:eastAsia="FZSSK--GBK1-0"/>
          <w:b w:val="false"/>
          <w:color w:val="000000"/>
          <w:sz w:val="22"/>
          <w:u w:val="none"/>
        </w:rPr>
        <w:t xml:space="preserve"> 采用更严苛的义务要求。并且，关键信息基础设施一旦发生网络安全事件后，通过事后救济无法解决</w:t>
      </w:r>
      <w:r>
        <w:rPr>
          <w:rFonts w:ascii="FZSSK--GBK1-0" w:hAnsi="FZSSK--GBK1-0" w:cs="FZSSK--GBK1-0" w:eastAsia="FZSSK--GBK1-0"/>
          <w:b w:val="false"/>
          <w:color w:val="000000"/>
          <w:sz w:val="22"/>
          <w:u w:val="none"/>
        </w:rPr>
        <w:t xml:space="preserve"> 数据泄露等业已发生的损害事实。因此，按照相应的网络安全防护策略需要确保信息系统技术架构</w:t>
      </w:r>
      <w:r>
        <w:rPr>
          <w:rFonts w:ascii="FZSSK--GBK1-0" w:hAnsi="FZSSK--GBK1-0" w:cs="FZSSK--GBK1-0" w:eastAsia="FZSSK--GBK1-0"/>
          <w:b w:val="false"/>
          <w:color w:val="000000"/>
          <w:sz w:val="22"/>
          <w:u w:val="none"/>
        </w:rPr>
        <w:t xml:space="preserve"> 与安全防护措施同步进行，进而延伸出“同步规划、同步建设、同步使用”的基本原则。</w:t>
      </w:r>
    </w:p>
    <w:p>
      <w:pPr>
        <w:spacing w:before="114" w:after="0" w:lineRule="auto"/>
        <w:ind w:firstLineChars="150" w:leftChars="127"/>
        <w:jc w:val="left"/>
      </w:pPr>
      <w:r>
        <w:rPr>
          <w:rFonts w:ascii="FZSSK--GBK1-0" w:hAnsi="FZSSK--GBK1-0" w:cs="FZSSK--GBK1-0" w:eastAsia="FZSSK--GBK1-0"/>
          <w:b w:val="false"/>
          <w:color w:val="000000"/>
          <w:sz w:val="22"/>
          <w:u w:val="none"/>
        </w:rPr>
        <w:t>其三，数字法学的研究范式不是数量有限的理论模型，而是与风险预防、风险治理相关的共识性</w:t>
      </w:r>
      <w:r>
        <w:rPr>
          <w:rFonts w:ascii="FZSSK--GBK1-0" w:hAnsi="FZSSK--GBK1-0" w:cs="FZSSK--GBK1-0" w:eastAsia="FZSSK--GBK1-0"/>
          <w:b w:val="false"/>
          <w:color w:val="000000"/>
          <w:sz w:val="22"/>
          <w:u w:val="none"/>
        </w:rPr>
        <w:t xml:space="preserve"> 研究框架。数字法学研究范式独立性的相关质疑本质上将数字法学视为一种独立的二级学科或者内</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228600</wp:posOffset>
            </wp:positionH>
            <wp:positionV relativeFrom="paragraph">
              <wp:posOffset>139700</wp:posOffset>
            </wp:positionV>
            <wp:extent cy="25400" cx="1473200"/>
            <wp:effectExtent b="0" r="0" t="0" l="0"/>
            <wp:wrapTopAndBottom/>
            <wp:docPr name="note_line_image12.jpeg" id="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2.jpeg" id="12"/>
                    <pic:cNvPicPr/>
                  </pic:nvPicPr>
                  <pic:blipFill>
                    <a:blip r:embed="rId16"/>
                    <a:stretch>
                      <a:fillRect/>
                    </a:stretch>
                  </pic:blipFill>
                  <pic:spPr>
                    <a:xfrm>
                      <a:off y="0" x="0"/>
                      <a:ext cy="25400" cx="1473200"/>
                    </a:xfrm>
                    <a:prstGeom prst="rect">
                      <a:avLst/>
                    </a:prstGeom>
                  </pic:spPr>
                </pic:pic>
              </a:graphicData>
            </a:graphic>
            <wp14:sizeRelH relativeFrom="margin">
              <wp14:pctWidth>0</wp14:pctWidth>
            </wp14:sizeRelH>
            <wp14:sizeRelV relativeFrom="margin">
              <wp14:pctHeight>0</wp14:pctHeight>
            </wp14:sizeRelV>
          </wp:anchor>
        </w:drawing>
      </w:r>
    </w:p>
    <w:p>
      <w:pPr>
        <w:spacing w:before="282" w:after="0" w:lineRule="auto"/>
        <w:ind w:leftChars="236"/>
        <w:jc w:val="left"/>
      </w:pPr>
      <w:r>
        <w:rPr>
          <w:rFonts w:ascii="FZSSK--GBK1-0" w:hAnsi="FZSSK--GBK1-0" w:cs="FZSSK--GBK1-0" w:eastAsia="FZSSK--GBK1-0"/>
          <w:b w:val="false"/>
          <w:color w:val="231f20"/>
          <w:sz w:val="20"/>
          <w:u w:val="none"/>
        </w:rPr>
        <w:t>〔14〕参见刘庄：《幻象与本相：法律人工智能及其他》，载《中国法律评论》2024年第 2期，第 132-133页。</w:t>
      </w:r>
    </w:p>
    <w:p>
      <w:pPr>
        <w:spacing w:before="44" w:after="0" w:lineRule="auto"/>
        <w:ind w:firstLineChars="88" w:leftChars="118"/>
        <w:jc w:val="left"/>
      </w:pPr>
      <w:r>
        <w:rPr>
          <w:rFonts w:ascii="FZSSK--GBK1-0" w:hAnsi="FZSSK--GBK1-0" w:cs="FZSSK--GBK1-0" w:eastAsia="FZSSK--GBK1-0"/>
          <w:b w:val="false"/>
          <w:color w:val="231f20"/>
          <w:sz w:val="20"/>
          <w:u w:val="none"/>
        </w:rPr>
        <w:t>〔15〕参见郭晔：《法理主题论——新时代中国法学新范式》，载《法制与社会发展》2020年第 2期；赵树文：《系统论范式下我国</w:t>
      </w:r>
      <w:r>
        <w:rPr>
          <w:rFonts w:ascii="FZSSK--GBK1-0" w:hAnsi="FZSSK--GBK1-0" w:cs="FZSSK--GBK1-0" w:eastAsia="FZSSK--GBK1-0"/>
          <w:b w:val="false"/>
          <w:color w:val="231f20"/>
          <w:sz w:val="20"/>
          <w:u w:val="none"/>
        </w:rPr>
        <w:t xml:space="preserve"> 公司资本规制立法的完善》，载《法商研究》2017年第 5期；曾令健：《实践主义法学研究范式》，载《浙江大学学报（人文社会科学版）》</w:t>
      </w:r>
      <w:r>
        <w:rPr>
          <w:rFonts w:ascii="FZSSK--GBK1-0" w:hAnsi="FZSSK--GBK1-0" w:cs="FZSSK--GBK1-0" w:eastAsia="FZSSK--GBK1-0"/>
          <w:b w:val="false"/>
          <w:color w:val="231f20"/>
          <w:sz w:val="20"/>
          <w:u w:val="none"/>
        </w:rPr>
        <w:t>2018年第 4期；张洪涛：《综合法学混合式法学范式的“内卷化”与“去内卷化”》，载《学术论坛》2023年第 3期。</w:t>
      </w:r>
    </w:p>
    <w:p>
      <w:pPr>
        <w:spacing w:before="53" w:after="9" w:lineRule="auto"/>
        <w:ind w:leftChars="242"/>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〔16〕参见曹京徽、江游：《论经济法的范式》，载《江海学刊》2017年第 6期，第 158-160页。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50800</wp:posOffset>
            </wp:positionH>
            <wp:positionV relativeFrom="paragraph">
              <wp:posOffset>12700</wp:posOffset>
            </wp:positionV>
            <wp:extent cy="12700" cx="1765300"/>
            <wp:effectExtent b="0" r="0" t="0" l="0"/>
            <wp:wrapTopAndBottom/>
            <wp:docPr name="header_line_image13.jpeg" id="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3.jpeg" id="13"/>
                    <pic:cNvPicPr/>
                  </pic:nvPicPr>
                  <pic:blipFill>
                    <a:blip r:embed="rId17"/>
                    <a:stretch>
                      <a:fillRect/>
                    </a:stretch>
                  </pic:blipFill>
                  <pic:spPr>
                    <a:xfrm>
                      <a:off y="0" x="0"/>
                      <a:ext cy="12700" cx="1765300"/>
                    </a:xfrm>
                    <a:prstGeom prst="rect">
                      <a:avLst/>
                    </a:prstGeom>
                  </pic:spPr>
                </pic:pic>
              </a:graphicData>
            </a:graphic>
            <wp14:sizeRelH relativeFrom="margin">
              <wp14:pctWidth>0</wp14:pctWidth>
            </wp14:sizeRelH>
            <wp14:sizeRelV relativeFrom="margin">
              <wp14:pctHeight>0</wp14:pctHeight>
            </wp14:sizeRelV>
          </wp:anchor>
        </w:drawing>
      </w:r>
    </w:p>
    <w:p>
      <w:pPr>
        <w:spacing w:before="308" w:after="0" w:lineRule="auto"/>
        <w:ind w:leftChars="11"/>
        <w:jc w:val="left"/>
      </w:pPr>
      <w:r>
        <w:rPr>
          <w:rFonts w:ascii="FZSSK--GBK1-0" w:hAnsi="FZSSK--GBK1-0" w:cs="FZSSK--GBK1-0" w:eastAsia="FZSSK--GBK1-0"/>
          <w:b w:val="false"/>
          <w:color w:val="000000"/>
          <w:sz w:val="22"/>
          <w:u w:val="none"/>
        </w:rPr>
        <w:t>容有限的研究领域，进而默认相应的研究范式也应当是数量有限的理论模型。但数字法学的产生与</w:t>
      </w:r>
      <w:r>
        <w:rPr>
          <w:rFonts w:ascii="FZSSK--GBK1-0" w:hAnsi="FZSSK--GBK1-0" w:cs="FZSSK--GBK1-0" w:eastAsia="FZSSK--GBK1-0"/>
          <w:b w:val="false"/>
          <w:color w:val="000000"/>
          <w:sz w:val="22"/>
          <w:u w:val="none"/>
        </w:rPr>
        <w:t xml:space="preserve"> 数字技术创新应用密切相关，其研究范式在一定程度上可以理解为风险治理相关的创新性法学研究</w:t>
      </w:r>
      <w:r>
        <w:rPr>
          <w:rFonts w:ascii="FZSSK--GBK1-0" w:hAnsi="FZSSK--GBK1-0" w:cs="FZSSK--GBK1-0" w:eastAsia="FZSSK--GBK1-0"/>
          <w:b w:val="false"/>
          <w:color w:val="000000"/>
          <w:sz w:val="22"/>
          <w:u w:val="none"/>
        </w:rPr>
        <w:t xml:space="preserve"> 框架，既包括传统法学理论的改良，也包括数字社会新型权利和义务的内容增设。</w:t>
      </w:r>
    </w:p>
    <w:p>
      <w:pPr>
        <w:spacing w:before="114" w:after="0" w:lineRule="auto"/>
        <w:ind w:leftChars="159"/>
        <w:jc w:val="left"/>
      </w:pPr>
      <w:r>
        <w:rPr>
          <w:rFonts w:ascii="FZSSK--GBK1-0" w:hAnsi="FZSSK--GBK1-0" w:cs="FZSSK--GBK1-0" w:eastAsia="FZSSK--GBK1-0"/>
          <w:b w:val="false"/>
          <w:color w:val="000000"/>
          <w:sz w:val="22"/>
          <w:u w:val="none"/>
        </w:rPr>
        <w:t>（三）数字法学研究范式的常见类型：以分级分类治理范式为例</w:t>
      </w:r>
    </w:p>
    <w:p>
      <w:pPr>
        <w:spacing w:before="106" w:after="0" w:lineRule="auto"/>
        <w:ind w:firstLineChars="147" w:leftChars="8"/>
        <w:jc w:val="left"/>
      </w:pPr>
      <w:r>
        <w:rPr>
          <w:rFonts w:ascii="FZSSK--GBK1-0" w:hAnsi="FZSSK--GBK1-0" w:cs="FZSSK--GBK1-0" w:eastAsia="FZSSK--GBK1-0"/>
          <w:b w:val="false"/>
          <w:color w:val="000000"/>
          <w:sz w:val="22"/>
          <w:u w:val="none"/>
        </w:rPr>
        <w:t>数字法学作为数字时代法学研究的新阶段和新模式，其研究范式也处于动态变化的过程中。数</w:t>
      </w:r>
      <w:r>
        <w:rPr>
          <w:rFonts w:ascii="FZSSK--GBK1-0" w:hAnsi="FZSSK--GBK1-0" w:cs="FZSSK--GBK1-0" w:eastAsia="FZSSK--GBK1-0"/>
          <w:b w:val="false"/>
          <w:color w:val="000000"/>
          <w:sz w:val="22"/>
          <w:u w:val="none"/>
        </w:rPr>
        <w:t xml:space="preserve"> 字技术的创新迭代使得数字法学解决新兴法律问题的方式也需要遵从技术发展的客观规律和数字社</w:t>
      </w:r>
      <w:r>
        <w:rPr>
          <w:rFonts w:ascii="FZSSK--GBK1-0" w:hAnsi="FZSSK--GBK1-0" w:cs="FZSSK--GBK1-0" w:eastAsia="FZSSK--GBK1-0"/>
          <w:b w:val="false"/>
          <w:color w:val="000000"/>
          <w:sz w:val="22"/>
          <w:u w:val="none"/>
        </w:rPr>
        <w:t xml:space="preserve"> 会实践的基本特征，进而延伸出分级分类治理范式、全生命周期治理范式、协同治理范式等研究范式。</w:t>
      </w:r>
      <w:r>
        <w:rPr>
          <w:rFonts w:ascii="FZSSK--GBK1-0" w:hAnsi="FZSSK--GBK1-0" w:cs="FZSSK--GBK1-0" w:eastAsia="FZSSK--GBK1-0"/>
          <w:b w:val="false"/>
          <w:color w:val="000000"/>
          <w:sz w:val="22"/>
          <w:u w:val="none"/>
        </w:rPr>
        <w:t>这些研究范式的特点在于，更侧重强调根据社会风险的来源、发生阶段以及损害后果确定特定主体的</w:t>
      </w:r>
      <w:r>
        <w:rPr>
          <w:rFonts w:ascii="FZSSK--GBK1-0" w:hAnsi="FZSSK--GBK1-0" w:cs="FZSSK--GBK1-0" w:eastAsia="FZSSK--GBK1-0"/>
          <w:b w:val="false"/>
          <w:color w:val="000000"/>
          <w:sz w:val="22"/>
          <w:u w:val="none"/>
        </w:rPr>
        <w:t xml:space="preserve"> 权利义务内容。在现有的数字法学研究范式中，分级分类治理范式正在逐渐成为精细化解决社会风</w:t>
      </w:r>
      <w:r>
        <w:rPr>
          <w:rFonts w:ascii="FZSSK--GBK1-0" w:hAnsi="FZSSK--GBK1-0" w:cs="FZSSK--GBK1-0" w:eastAsia="FZSSK--GBK1-0"/>
          <w:b w:val="false"/>
          <w:color w:val="000000"/>
          <w:sz w:val="22"/>
          <w:u w:val="none"/>
        </w:rPr>
        <w:t xml:space="preserve"> 险的工具。在网络安全领域，依据 1994年《计算机信息系统安全保护条例》制定的网络安全等级保</w:t>
      </w:r>
      <w:r>
        <w:rPr>
          <w:rFonts w:ascii="FZSSK--GBK1-0" w:hAnsi="FZSSK--GBK1-0" w:cs="FZSSK--GBK1-0" w:eastAsia="FZSSK--GBK1-0"/>
          <w:b w:val="false"/>
          <w:color w:val="000000"/>
          <w:sz w:val="22"/>
          <w:u w:val="none"/>
        </w:rPr>
        <w:t xml:space="preserve"> 护制度 1.0就是分级分类治理的直观体现，该制度将网络安全保护技术要求分类为物理安全、网络安</w:t>
      </w:r>
      <w:r>
        <w:rPr>
          <w:rFonts w:ascii="FZSSK--GBK1-0" w:hAnsi="FZSSK--GBK1-0" w:cs="FZSSK--GBK1-0" w:eastAsia="FZSSK--GBK1-0"/>
          <w:b w:val="false"/>
          <w:color w:val="000000"/>
          <w:sz w:val="22"/>
          <w:u w:val="none"/>
        </w:rPr>
        <w:t xml:space="preserve"> 全、主机安全、应用安全、数据安全以及备份恢复。在《网络安全法》第 21条明确提及“国家实行网络</w:t>
      </w:r>
      <w:r>
        <w:rPr>
          <w:rFonts w:ascii="FZSSK--GBK1-0" w:hAnsi="FZSSK--GBK1-0" w:cs="FZSSK--GBK1-0" w:eastAsia="FZSSK--GBK1-0"/>
          <w:b w:val="false"/>
          <w:color w:val="000000"/>
          <w:sz w:val="22"/>
          <w:u w:val="none"/>
        </w:rPr>
        <w:t xml:space="preserve"> 安全等级保护制度”后，网络安全等级保护制度 2.0在分级分类治理理念下，将技术要求调整为安全</w:t>
      </w:r>
      <w:r>
        <w:rPr>
          <w:rFonts w:ascii="FZSSK--GBK1-0" w:hAnsi="FZSSK--GBK1-0" w:cs="FZSSK--GBK1-0" w:eastAsia="FZSSK--GBK1-0"/>
          <w:b w:val="false"/>
          <w:color w:val="000000"/>
          <w:sz w:val="22"/>
          <w:u w:val="none"/>
        </w:rPr>
        <w:t xml:space="preserve"> 物理环境、安全通信边界、安全区域边界、安全计算环境、安全管理中心。在数据安全领域，《数据安全</w:t>
      </w:r>
      <w:r>
        <w:rPr>
          <w:rFonts w:ascii="FZSSK--GBK1-0" w:hAnsi="FZSSK--GBK1-0" w:cs="FZSSK--GBK1-0" w:eastAsia="FZSSK--GBK1-0"/>
          <w:b w:val="false"/>
          <w:color w:val="000000"/>
          <w:sz w:val="22"/>
          <w:u w:val="none"/>
        </w:rPr>
        <w:t xml:space="preserve"> 法》则将数据分级分类保护作为我国数据安全基本制度之一，其内在逻辑是根据数据的类型、数量、重</w:t>
      </w:r>
      <w:r>
        <w:rPr>
          <w:rFonts w:ascii="FZSSK--GBK1-0" w:hAnsi="FZSSK--GBK1-0" w:cs="FZSSK--GBK1-0" w:eastAsia="FZSSK--GBK1-0"/>
          <w:b w:val="false"/>
          <w:color w:val="000000"/>
          <w:sz w:val="22"/>
          <w:u w:val="none"/>
        </w:rPr>
        <w:t xml:space="preserve"> 要程度以及风险特征等要素，采用具有针对性的安全保护措施。并且，这种分级分类保护制度也被部</w:t>
      </w:r>
      <w:r>
        <w:rPr>
          <w:rFonts w:ascii="FZSSK--GBK1-0" w:hAnsi="FZSSK--GBK1-0" w:cs="FZSSK--GBK1-0" w:eastAsia="FZSSK--GBK1-0"/>
          <w:b w:val="false"/>
          <w:color w:val="000000"/>
          <w:sz w:val="22"/>
          <w:u w:val="none"/>
        </w:rPr>
        <w:t xml:space="preserve"> 分学者沿用到数据财产权领域，基于数据资源所对应的经济价值和应用场景，确定差异化的数据权属</w:t>
      </w:r>
      <w:r>
        <w:rPr>
          <w:rFonts w:ascii="FZSSK--GBK1-0" w:hAnsi="FZSSK--GBK1-0" w:cs="FZSSK--GBK1-0" w:eastAsia="FZSSK--GBK1-0"/>
          <w:b w:val="false"/>
          <w:color w:val="000000"/>
          <w:sz w:val="22"/>
          <w:u w:val="none"/>
        </w:rPr>
        <w:t xml:space="preserve"> 机制和数据交易机制。在人工智能安全领域，分级分类治理范式也被应用于算法安全治理体系，根据</w:t>
      </w:r>
      <w:r>
        <w:rPr>
          <w:rFonts w:ascii="FZSSK--GBK1-0" w:hAnsi="FZSSK--GBK1-0" w:cs="FZSSK--GBK1-0" w:eastAsia="FZSSK--GBK1-0"/>
          <w:b w:val="false"/>
          <w:color w:val="000000"/>
          <w:sz w:val="22"/>
          <w:u w:val="none"/>
        </w:rPr>
        <w:t xml:space="preserve"> 算法的功能、对个体权益的影响程度等要素，采取不同的监管措施。欧盟《人工智能法》同样是根据</w:t>
      </w:r>
      <w:r>
        <w:rPr>
          <w:rFonts w:ascii="FZSSK--GBK1-0" w:hAnsi="FZSSK--GBK1-0" w:cs="FZSSK--GBK1-0" w:eastAsia="FZSSK--GBK1-0"/>
          <w:b w:val="false"/>
          <w:color w:val="000000"/>
          <w:sz w:val="22"/>
          <w:u w:val="none"/>
        </w:rPr>
        <w:t xml:space="preserve"> 人工智能系统的风险程度，按照“不可接受的风险类型”“高风险类型”“有限风险或轻微风险类型”</w:t>
      </w:r>
      <w:r>
        <w:rPr>
          <w:rFonts w:ascii="FZSSK--GBK1-0" w:hAnsi="FZSSK--GBK1-0" w:cs="FZSSK--GBK1-0" w:eastAsia="FZSSK--GBK1-0"/>
          <w:b w:val="false"/>
          <w:color w:val="000000"/>
          <w:sz w:val="22"/>
          <w:u w:val="none"/>
        </w:rPr>
        <w:t>和“低风险类型”四个类别设置针对性的监管要求，如“高风险类型”的人工智能系统应在上市前以</w:t>
      </w:r>
      <w:r>
        <w:rPr>
          <w:rFonts w:ascii="FZSSK--GBK1-0" w:hAnsi="FZSSK--GBK1-0" w:cs="FZSSK--GBK1-0" w:eastAsia="FZSSK--GBK1-0"/>
          <w:b w:val="false"/>
          <w:color w:val="000000"/>
          <w:sz w:val="22"/>
          <w:u w:val="none"/>
        </w:rPr>
        <w:t xml:space="preserve"> 及整个生命周期内进行必要的安全评估。</w:t>
      </w:r>
    </w:p>
    <w:p>
      <w:pPr>
        <w:spacing w:before="106" w:after="0" w:lineRule="auto"/>
        <w:ind w:firstLineChars="147" w:leftChars="8"/>
        <w:jc w:val="left"/>
      </w:pPr>
      <w:r>
        <w:rPr>
          <w:rFonts w:ascii="FZSSK--GBK1-0" w:hAnsi="FZSSK--GBK1-0" w:cs="FZSSK--GBK1-0" w:eastAsia="FZSSK--GBK1-0"/>
          <w:b w:val="false"/>
          <w:color w:val="000000"/>
          <w:sz w:val="22"/>
          <w:u w:val="none"/>
        </w:rPr>
        <w:t>分级分类治理范式的核心内容是按照风险程度确定相应的制度内容，但在具体的适用过程中，</w:t>
      </w:r>
      <w:r>
        <w:rPr>
          <w:rFonts w:ascii="FZSSK--GBK1-0" w:hAnsi="FZSSK--GBK1-0" w:cs="FZSSK--GBK1-0" w:eastAsia="FZSSK--GBK1-0"/>
          <w:b w:val="false"/>
          <w:color w:val="000000"/>
          <w:sz w:val="22"/>
          <w:u w:val="none"/>
        </w:rPr>
        <w:t>也存在“高、中、低”三级风险划分模式泛化的问题。在部分研究成果中，虽然有提及分级分类治理范</w:t>
      </w:r>
      <w:r>
        <w:rPr>
          <w:rFonts w:ascii="FZSSK--GBK1-0" w:hAnsi="FZSSK--GBK1-0" w:cs="FZSSK--GBK1-0" w:eastAsia="FZSSK--GBK1-0"/>
          <w:b w:val="false"/>
          <w:color w:val="000000"/>
          <w:sz w:val="22"/>
          <w:u w:val="none"/>
        </w:rPr>
        <w:t xml:space="preserve"> 式，但是大多停留于主张在制度建构中应用这种范式，而没有说明分级分类的具体标准。“高、中、低”</w:t>
      </w:r>
      <w:r>
        <w:rPr>
          <w:rFonts w:ascii="FZSSK--GBK1-0" w:hAnsi="FZSSK--GBK1-0" w:cs="FZSSK--GBK1-0" w:eastAsia="FZSSK--GBK1-0"/>
          <w:b w:val="false"/>
          <w:color w:val="000000"/>
          <w:sz w:val="22"/>
          <w:u w:val="none"/>
        </w:rPr>
        <w:t>三级风险划分模式看似满足了分级分类治理的基本逻辑，但这种较为粗糙的风险级别划分无法为相</w:t>
      </w:r>
      <w:r>
        <w:rPr>
          <w:rFonts w:ascii="FZSSK--GBK1-0" w:hAnsi="FZSSK--GBK1-0" w:cs="FZSSK--GBK1-0" w:eastAsia="FZSSK--GBK1-0"/>
          <w:b w:val="false"/>
          <w:color w:val="000000"/>
          <w:sz w:val="22"/>
          <w:u w:val="none"/>
        </w:rPr>
        <w:t xml:space="preserve"> 应的法定义务提供明确的适用情形和履行标准，并且，此仅仅属于“分级”标准，忽视了“分类”标准。</w:t>
      </w:r>
      <w:r>
        <w:rPr>
          <w:rFonts w:ascii="FZSSK--GBK1-0" w:hAnsi="FZSSK--GBK1-0" w:cs="FZSSK--GBK1-0" w:eastAsia="FZSSK--GBK1-0"/>
          <w:b w:val="false"/>
          <w:color w:val="000000"/>
          <w:sz w:val="22"/>
          <w:u w:val="none"/>
        </w:rPr>
        <w:t>此外，分级分类治理范式也存在与场景治理范式混同的现象。虽然两者在方法论层面均表现为“具体</w:t>
      </w:r>
      <w:r>
        <w:rPr>
          <w:rFonts w:ascii="FZSSK--GBK1-0" w:hAnsi="FZSSK--GBK1-0" w:cs="FZSSK--GBK1-0" w:eastAsia="FZSSK--GBK1-0"/>
          <w:b w:val="false"/>
          <w:color w:val="000000"/>
          <w:sz w:val="22"/>
          <w:u w:val="none"/>
        </w:rPr>
        <w:t xml:space="preserve"> 问题具体分析”，但分级分类治理范式更强调权利义务内容的精细化，“分级”和“分类”两个维度能够</w:t>
      </w:r>
      <w:r>
        <w:rPr>
          <w:rFonts w:ascii="FZSSK--GBK1-0" w:hAnsi="FZSSK--GBK1-0" w:cs="FZSSK--GBK1-0" w:eastAsia="FZSSK--GBK1-0"/>
          <w:b w:val="false"/>
          <w:color w:val="000000"/>
          <w:sz w:val="22"/>
          <w:u w:val="none"/>
        </w:rPr>
        <w:t xml:space="preserve"> 在法律实施层面提供更为精确的行为规范指引。场景治理范式则是强调对单个应用场景的考量，更</w:t>
      </w:r>
      <w:r>
        <w:rPr>
          <w:rFonts w:ascii="FZSSK--GBK1-0" w:hAnsi="FZSSK--GBK1-0" w:cs="FZSSK--GBK1-0" w:eastAsia="FZSSK--GBK1-0"/>
          <w:b w:val="false"/>
          <w:color w:val="000000"/>
          <w:sz w:val="22"/>
          <w:u w:val="none"/>
        </w:rPr>
        <w:t xml:space="preserve"> 强调权利义务的适用情形。</w:t>
      </w:r>
    </w:p>
    <w:p>
      <w:pPr>
        <w:spacing w:before="467" w:after="0" w:lineRule="auto"/>
        <w:jc w:val="center"/>
      </w:pPr>
      <w:r>
        <w:rPr>
          <w:rFonts w:ascii="FZSSK--GBK1-0" w:hAnsi="FZSSK--GBK1-0" w:cs="FZSSK--GBK1-0" w:eastAsia="FZSSK--GBK1-0"/>
          <w:b w:val="false"/>
          <w:color w:val="000000"/>
          <w:sz w:val="30"/>
          <w:u w:val="none"/>
        </w:rPr>
        <w:t>四、数字法学研究定位“三问”</w:t>
      </w:r>
    </w:p>
    <w:p>
      <w:pPr>
        <w:spacing w:before="405" w:after="0" w:lineRule="auto"/>
        <w:ind w:leftChars="162"/>
        <w:jc w:val="left"/>
      </w:pPr>
      <w:r>
        <w:rPr>
          <w:rFonts w:ascii="FZSSK--GBK1-0" w:hAnsi="FZSSK--GBK1-0" w:cs="FZSSK--GBK1-0" w:eastAsia="FZSSK--GBK1-0"/>
          <w:b w:val="false"/>
          <w:color w:val="000000"/>
          <w:sz w:val="22"/>
          <w:u w:val="none"/>
        </w:rPr>
        <w:t>（一）数字法学是“风险治理法学”吗？</w:t>
      </w:r>
    </w:p>
    <w:p>
      <w:pPr>
        <w:spacing w:before="123" w:after="44" w:lineRule="auto"/>
        <w:ind w:firstLineChars="112" w:leftChars="14"/>
        <w:jc w:val="left"/>
        <w:sectPr>
          <w:type w:val="continuous"/>
          <w:pgSz w:h="16840" w:w="11900"/>
          <w:pgMar w:left="1324" w:right="1349" w:top="1637" w:bottom="1707" w:header="720" w:footer="720"/>
        </w:sectPr>
      </w:pPr>
      <w:r>
        <w:rPr>
          <w:rFonts w:ascii="FZSSK--GBK1-0" w:hAnsi="FZSSK--GBK1-0" w:cs="FZSSK--GBK1-0" w:eastAsia="FZSSK--GBK1-0"/>
          <w:b w:val="false"/>
          <w:color w:val="000000"/>
          <w:sz w:val="22"/>
          <w:u w:val="none"/>
        </w:rPr>
        <w:t>“风险”一词在现有的数字法学研究成果中频繁出现，但凡提及数据、网络等客体时，必然会提及</w:t>
      </w:r>
      <w:r>
        <w:rPr>
          <w:rFonts w:ascii="FZSSK--GBK1-0" w:hAnsi="FZSSK--GBK1-0" w:cs="FZSSK--GBK1-0" w:eastAsia="FZSSK--GBK1-0"/>
          <w:b w:val="false"/>
          <w:color w:val="000000"/>
          <w:sz w:val="22"/>
          <w:u w:val="none"/>
        </w:rPr>
        <w:t xml:space="preserve"> 风险治理。并且，从数字法学的研究范畴和研究范式来看，均是以风险治理为导向。那么，这是否意</w:t>
      </w:r>
      <w:r>
        <w:rPr>
          <w:rFonts w:ascii="FZSSK--GBK1-0" w:hAnsi="FZSSK--GBK1-0" w:cs="FZSSK--GBK1-0" w:eastAsia="FZSSK--GBK1-0"/>
          <w:b w:val="false"/>
          <w:color w:val="000000"/>
          <w:sz w:val="22"/>
          <w:u w:val="none"/>
        </w:rPr>
        <w:t xml:space="preserve"> 味着数字法学在某种程度上属于有关风险治理的法学研究呢？回归到数字法学形成的社会实践来</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3835400</wp:posOffset>
            </wp:positionH>
            <wp:positionV relativeFrom="paragraph">
              <wp:posOffset>0</wp:posOffset>
            </wp:positionV>
            <wp:extent cy="25400" cx="1968500"/>
            <wp:effectExtent b="0" r="0" t="0" l="0"/>
            <wp:wrapTopAndBottom/>
            <wp:docPr name="header_line_image14.jpeg" id="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4.jpeg" id="14"/>
                    <pic:cNvPicPr/>
                  </pic:nvPicPr>
                  <pic:blipFill>
                    <a:blip r:embed="rId18"/>
                    <a:stretch>
                      <a:fillRect/>
                    </a:stretch>
                  </pic:blipFill>
                  <pic:spPr>
                    <a:xfrm>
                      <a:off y="0" x="0"/>
                      <a:ext cy="25400" cx="1968500"/>
                    </a:xfrm>
                    <a:prstGeom prst="rect">
                      <a:avLst/>
                    </a:prstGeom>
                  </pic:spPr>
                </pic:pic>
              </a:graphicData>
            </a:graphic>
            <wp14:sizeRelH relativeFrom="margin">
              <wp14:pctWidth>0</wp14:pctWidth>
            </wp14:sizeRelH>
            <wp14:sizeRelV relativeFrom="margin">
              <wp14:pctHeight>0</wp14:pctHeight>
            </wp14:sizeRelV>
          </wp:anchor>
        </w:drawing>
      </w:r>
    </w:p>
    <w:p>
      <w:pPr>
        <w:spacing w:before="290" w:after="0" w:lineRule="auto"/>
        <w:ind w:leftChars="133"/>
        <w:jc w:val="left"/>
      </w:pPr>
      <w:r>
        <w:rPr>
          <w:rFonts w:ascii="FZSSK--GBK1-0" w:hAnsi="FZSSK--GBK1-0" w:cs="FZSSK--GBK1-0" w:eastAsia="FZSSK--GBK1-0"/>
          <w:b w:val="false"/>
          <w:color w:val="000000"/>
          <w:sz w:val="22"/>
          <w:u w:val="none"/>
        </w:rPr>
        <w:t>看，现代法学之所以会延伸出数字法学这一概念，是因为数字技术创新产生的社会风险需要全新的研</w:t>
      </w:r>
      <w:r>
        <w:rPr>
          <w:rFonts w:ascii="FZSSK--GBK1-0" w:hAnsi="FZSSK--GBK1-0" w:cs="FZSSK--GBK1-0" w:eastAsia="FZSSK--GBK1-0"/>
          <w:b w:val="false"/>
          <w:color w:val="000000"/>
          <w:sz w:val="22"/>
          <w:u w:val="none"/>
        </w:rPr>
        <w:t xml:space="preserve"> 究路径予以应对。数字法学既不是部门法层面的概念，也不是独立的二级学科指称，本质上是现代法</w:t>
      </w:r>
      <w:r>
        <w:rPr>
          <w:rFonts w:ascii="FZSSK--GBK1-0" w:hAnsi="FZSSK--GBK1-0" w:cs="FZSSK--GBK1-0" w:eastAsia="FZSSK--GBK1-0"/>
          <w:b w:val="false"/>
          <w:color w:val="000000"/>
          <w:sz w:val="22"/>
          <w:u w:val="none"/>
        </w:rPr>
        <w:t xml:space="preserve"> 学在回应新兴数字社会风险过程中所产生的研究形态。进一步而言，明确数字法学概念和定位的目</w:t>
      </w:r>
      <w:r>
        <w:rPr>
          <w:rFonts w:ascii="FZSSK--GBK1-0" w:hAnsi="FZSSK--GBK1-0" w:cs="FZSSK--GBK1-0" w:eastAsia="FZSSK--GBK1-0"/>
          <w:b w:val="false"/>
          <w:color w:val="000000"/>
          <w:sz w:val="22"/>
          <w:u w:val="none"/>
        </w:rPr>
        <w:t xml:space="preserve"> 的在于阐明现代法学需要根据现代社会风险治理需求改变既有的研究路径、研究范畴、研究工具以及</w:t>
      </w:r>
      <w:r>
        <w:rPr>
          <w:rFonts w:ascii="FZSSK--GBK1-0" w:hAnsi="FZSSK--GBK1-0" w:cs="FZSSK--GBK1-0" w:eastAsia="FZSSK--GBK1-0"/>
          <w:b w:val="false"/>
          <w:color w:val="000000"/>
          <w:sz w:val="22"/>
          <w:u w:val="none"/>
        </w:rPr>
        <w:t xml:space="preserve"> 研究视角。网络安全法律制度从“冷门”到“热门”的转变，也恰恰说明现代法学研究正在发生研究</w:t>
      </w:r>
      <w:r>
        <w:rPr>
          <w:rFonts w:ascii="FZSSK--GBK1-0" w:hAnsi="FZSSK--GBK1-0" w:cs="FZSSK--GBK1-0" w:eastAsia="FZSSK--GBK1-0"/>
          <w:b w:val="false"/>
          <w:color w:val="000000"/>
          <w:sz w:val="22"/>
          <w:u w:val="none"/>
        </w:rPr>
        <w:t xml:space="preserve"> 理念层面的变动。数字社会的新兴风险无法完全通过技术更新的方式彻底控制，故而需要转向综合</w:t>
      </w:r>
      <w:r>
        <w:rPr>
          <w:rFonts w:ascii="FZSSK--GBK1-0" w:hAnsi="FZSSK--GBK1-0" w:cs="FZSSK--GBK1-0" w:eastAsia="FZSSK--GBK1-0"/>
          <w:b w:val="false"/>
          <w:color w:val="000000"/>
          <w:sz w:val="22"/>
          <w:u w:val="none"/>
        </w:rPr>
        <w:t xml:space="preserve"> 性的治理体系，最大限度地预防和控制风险事件的发生。加之单一的法律制度仅能发挥部分风险治</w:t>
      </w:r>
      <w:r>
        <w:rPr>
          <w:rFonts w:ascii="FZSSK--GBK1-0" w:hAnsi="FZSSK--GBK1-0" w:cs="FZSSK--GBK1-0" w:eastAsia="FZSSK--GBK1-0"/>
          <w:b w:val="false"/>
          <w:color w:val="000000"/>
          <w:sz w:val="22"/>
          <w:u w:val="none"/>
        </w:rPr>
        <w:t xml:space="preserve"> 理功能，使得法学研究也越发重视不同制度之间的规则衔接。具体而言，“风险”对数字法学的影响</w:t>
      </w:r>
      <w:r>
        <w:rPr>
          <w:rFonts w:ascii="FZSSK--GBK1-0" w:hAnsi="FZSSK--GBK1-0" w:cs="FZSSK--GBK1-0" w:eastAsia="FZSSK--GBK1-0"/>
          <w:b w:val="false"/>
          <w:color w:val="000000"/>
          <w:sz w:val="22"/>
          <w:u w:val="none"/>
        </w:rPr>
        <w:t xml:space="preserve"> 主要表现为三个层面：其一，研究视角的多元化。在传统法学活动中，部门法学者大多聚焦于部门法</w:t>
      </w:r>
      <w:r>
        <w:rPr>
          <w:rFonts w:ascii="FZSSK--GBK1-0" w:hAnsi="FZSSK--GBK1-0" w:cs="FZSSK--GBK1-0" w:eastAsia="FZSSK--GBK1-0"/>
          <w:b w:val="false"/>
          <w:color w:val="000000"/>
          <w:sz w:val="22"/>
          <w:u w:val="none"/>
        </w:rPr>
        <w:t xml:space="preserve"> 领域内的“专属问题”展开论证和研究。但在数字法学研究领域，学者们不再根据部门法划分研究领</w:t>
      </w:r>
      <w:r>
        <w:rPr>
          <w:rFonts w:ascii="FZSSK--GBK1-0" w:hAnsi="FZSSK--GBK1-0" w:cs="FZSSK--GBK1-0" w:eastAsia="FZSSK--GBK1-0"/>
          <w:b w:val="false"/>
          <w:color w:val="000000"/>
          <w:sz w:val="22"/>
          <w:u w:val="none"/>
        </w:rPr>
        <w:t xml:space="preserve"> 域，甚至出现了基于公法与私法相结合的研究视角。这是因为单一的研究视角可能无法有效回应数</w:t>
      </w:r>
      <w:r>
        <w:rPr>
          <w:rFonts w:ascii="FZSSK--GBK1-0" w:hAnsi="FZSSK--GBK1-0" w:cs="FZSSK--GBK1-0" w:eastAsia="FZSSK--GBK1-0"/>
          <w:b w:val="false"/>
          <w:color w:val="000000"/>
          <w:sz w:val="22"/>
          <w:u w:val="none"/>
        </w:rPr>
        <w:t xml:space="preserve"> 字技术创新风险的多因性，跨部门法的研究视角更有助于发现预防和控制特定风险的义务主体范围。</w:t>
      </w:r>
      <w:r>
        <w:rPr>
          <w:rFonts w:ascii="FZSSK--GBK1-0" w:hAnsi="FZSSK--GBK1-0" w:cs="FZSSK--GBK1-0" w:eastAsia="FZSSK--GBK1-0"/>
          <w:b w:val="false"/>
          <w:color w:val="000000"/>
          <w:sz w:val="22"/>
          <w:u w:val="none"/>
        </w:rPr>
        <w:t>其二，研究路径的体系化。伴随着数字立法实践的深入，学者们也开始发现新兴数字社会风险的预防</w:t>
      </w:r>
      <w:r>
        <w:rPr>
          <w:rFonts w:ascii="FZSSK--GBK1-0" w:hAnsi="FZSSK--GBK1-0" w:cs="FZSSK--GBK1-0" w:eastAsia="FZSSK--GBK1-0"/>
          <w:b w:val="false"/>
          <w:color w:val="000000"/>
          <w:sz w:val="22"/>
          <w:u w:val="none"/>
        </w:rPr>
        <w:t xml:space="preserve"> 和控制不能仅仅依赖某一项或某一类法律制度，研究模式也开始呈现“个体制度研究”与“制度体系</w:t>
      </w:r>
      <w:r>
        <w:rPr>
          <w:rFonts w:ascii="FZSSK--GBK1-0" w:hAnsi="FZSSK--GBK1-0" w:cs="FZSSK--GBK1-0" w:eastAsia="FZSSK--GBK1-0"/>
          <w:b w:val="false"/>
          <w:color w:val="000000"/>
          <w:sz w:val="22"/>
          <w:u w:val="none"/>
        </w:rPr>
        <w:t xml:space="preserve"> 化研究”并存的发展特征。其三，研究内容的权益平衡化。“风险”一词在具体的学理论证中往往被</w:t>
      </w:r>
      <w:r>
        <w:rPr>
          <w:rFonts w:ascii="FZSSK--GBK1-0" w:hAnsi="FZSSK--GBK1-0" w:cs="FZSSK--GBK1-0" w:eastAsia="FZSSK--GBK1-0"/>
          <w:b w:val="false"/>
          <w:color w:val="000000"/>
          <w:sz w:val="22"/>
          <w:u w:val="none"/>
        </w:rPr>
        <w:t xml:space="preserve"> 转化为“安全和利用”“安全保障与技术创新”等法律价值的平衡问题，故而权益平衡理论一度成为</w:t>
      </w:r>
      <w:r>
        <w:rPr>
          <w:rFonts w:ascii="FZSSK--GBK1-0" w:hAnsi="FZSSK--GBK1-0" w:cs="FZSSK--GBK1-0" w:eastAsia="FZSSK--GBK1-0"/>
          <w:b w:val="false"/>
          <w:color w:val="000000"/>
          <w:sz w:val="22"/>
          <w:u w:val="none"/>
        </w:rPr>
        <w:t xml:space="preserve"> 数字法学研究领域的常见研究范式。</w:t>
      </w:r>
    </w:p>
    <w:p>
      <w:pPr>
        <w:spacing w:before="53" w:after="0" w:lineRule="auto"/>
        <w:ind w:firstLineChars="150" w:leftChars="130"/>
        <w:jc w:val="left"/>
      </w:pPr>
      <w:r>
        <w:rPr>
          <w:rFonts w:ascii="FZSSK--GBK1-0" w:hAnsi="FZSSK--GBK1-0" w:cs="FZSSK--GBK1-0" w:eastAsia="FZSSK--GBK1-0"/>
          <w:b w:val="false"/>
          <w:color w:val="000000"/>
          <w:sz w:val="22"/>
          <w:u w:val="none"/>
        </w:rPr>
        <w:t>然而，对于“风险”的过度关注也导致数字法学研究产生“真问题”与“假问题”的混同现象。“风</w:t>
      </w:r>
      <w:r>
        <w:rPr>
          <w:rFonts w:ascii="FZSSK--GBK1-0" w:hAnsi="FZSSK--GBK1-0" w:cs="FZSSK--GBK1-0" w:eastAsia="FZSSK--GBK1-0"/>
          <w:b w:val="false"/>
          <w:color w:val="000000"/>
          <w:sz w:val="22"/>
          <w:u w:val="none"/>
        </w:rPr>
        <w:t xml:space="preserve"> 险”本身即有不确定性之含义，这导致部分法学研究开始将所有的技术应用不确定性等同于法学研究</w:t>
      </w:r>
      <w:r>
        <w:rPr>
          <w:rFonts w:ascii="FZSSK--GBK1-0" w:hAnsi="FZSSK--GBK1-0" w:cs="FZSSK--GBK1-0" w:eastAsia="FZSSK--GBK1-0"/>
          <w:b w:val="false"/>
          <w:color w:val="000000"/>
          <w:sz w:val="22"/>
          <w:u w:val="none"/>
        </w:rPr>
        <w:t xml:space="preserve"> 层面的“风险”，使得原本不适宜或者现阶段没有必要论证的法学议题涌入法学研究领域。并且，在不</w:t>
      </w:r>
      <w:r>
        <w:rPr>
          <w:rFonts w:ascii="FZSSK--GBK1-0" w:hAnsi="FZSSK--GBK1-0" w:cs="FZSSK--GBK1-0" w:eastAsia="FZSSK--GBK1-0"/>
          <w:b w:val="false"/>
          <w:color w:val="000000"/>
          <w:sz w:val="22"/>
          <w:u w:val="none"/>
        </w:rPr>
        <w:t xml:space="preserve"> 区分不同技术风险差异性的情况下，使得部分研究活动呈现“重复研究”的现象。立足于技术创新可</w:t>
      </w:r>
      <w:r>
        <w:rPr>
          <w:rFonts w:ascii="FZSSK--GBK1-0" w:hAnsi="FZSSK--GBK1-0" w:cs="FZSSK--GBK1-0" w:eastAsia="FZSSK--GBK1-0"/>
          <w:b w:val="false"/>
          <w:color w:val="000000"/>
          <w:sz w:val="22"/>
          <w:u w:val="none"/>
        </w:rPr>
        <w:t xml:space="preserve"> 能产生的技术风险，论证现行立法体系对这类技术风险调整的可能性和恰当性，进而得出法律解释或</w:t>
      </w:r>
      <w:r>
        <w:rPr>
          <w:rFonts w:ascii="FZSSK--GBK1-0" w:hAnsi="FZSSK--GBK1-0" w:cs="FZSSK--GBK1-0" w:eastAsia="FZSSK--GBK1-0"/>
          <w:b w:val="false"/>
          <w:color w:val="000000"/>
          <w:sz w:val="22"/>
          <w:u w:val="none"/>
        </w:rPr>
        <w:t xml:space="preserve"> 专门立法的结论，这类论证模式本身并没有太大争议。但问题是，如果对相同或同质的技术风险不加</w:t>
      </w:r>
      <w:r>
        <w:rPr>
          <w:rFonts w:ascii="FZSSK--GBK1-0" w:hAnsi="FZSSK--GBK1-0" w:cs="FZSSK--GBK1-0" w:eastAsia="FZSSK--GBK1-0"/>
          <w:b w:val="false"/>
          <w:color w:val="000000"/>
          <w:sz w:val="22"/>
          <w:u w:val="none"/>
        </w:rPr>
        <w:t xml:space="preserve"> 以区分，“专门立法”这类结论则会导致法学研究陷入“技术立法论”的误区。此时，诸如“针对此类</w:t>
      </w:r>
      <w:r>
        <w:rPr>
          <w:rFonts w:ascii="FZSSK--GBK1-0" w:hAnsi="FZSSK--GBK1-0" w:cs="FZSSK--GBK1-0" w:eastAsia="FZSSK--GBK1-0"/>
          <w:b w:val="false"/>
          <w:color w:val="000000"/>
          <w:sz w:val="22"/>
          <w:u w:val="none"/>
        </w:rPr>
        <w:t xml:space="preserve"> 技术安全风险，是否存在法律空白”等类似问题显然就属于“假问题”，而“针对此类技术安全风险，法</w:t>
      </w:r>
      <w:r>
        <w:rPr>
          <w:rFonts w:ascii="FZSSK--GBK1-0" w:hAnsi="FZSSK--GBK1-0" w:cs="FZSSK--GBK1-0" w:eastAsia="FZSSK--GBK1-0"/>
          <w:b w:val="false"/>
          <w:color w:val="000000"/>
          <w:sz w:val="22"/>
          <w:u w:val="none"/>
        </w:rPr>
        <w:t xml:space="preserve"> 律适用方式是否需要进行调整”等类似问题则属于“真问题”。此外，“假问题”还表现为风险预防与</w:t>
      </w:r>
      <w:r>
        <w:rPr>
          <w:rFonts w:ascii="FZSSK--GBK1-0" w:hAnsi="FZSSK--GBK1-0" w:cs="FZSSK--GBK1-0" w:eastAsia="FZSSK--GBK1-0"/>
          <w:b w:val="false"/>
          <w:color w:val="000000"/>
          <w:sz w:val="22"/>
          <w:u w:val="none"/>
        </w:rPr>
        <w:t xml:space="preserve"> 超前风险假设的混同。法学研究领域的风险预防是以相对成熟的技术应用场景为基础，在合理的预</w:t>
      </w:r>
      <w:r>
        <w:rPr>
          <w:rFonts w:ascii="FZSSK--GBK1-0" w:hAnsi="FZSSK--GBK1-0" w:cs="FZSSK--GBK1-0" w:eastAsia="FZSSK--GBK1-0"/>
          <w:b w:val="false"/>
          <w:color w:val="000000"/>
          <w:sz w:val="22"/>
          <w:u w:val="none"/>
        </w:rPr>
        <w:t xml:space="preserve"> 见范围内论证未来风险的预防机制，属于典型的“预防型法治”模式；而超前风险假设则是在产业实</w:t>
      </w:r>
      <w:r>
        <w:rPr>
          <w:rFonts w:ascii="FZSSK--GBK1-0" w:hAnsi="FZSSK--GBK1-0" w:cs="FZSSK--GBK1-0" w:eastAsia="FZSSK--GBK1-0"/>
          <w:b w:val="false"/>
          <w:color w:val="000000"/>
          <w:sz w:val="22"/>
          <w:u w:val="none"/>
        </w:rPr>
        <w:t xml:space="preserve"> 践对技术概念或具体应用方式尚未达成基本共识的前提下，宽泛地假设具有相当不确定的未来风险。</w:t>
      </w:r>
    </w:p>
    <w:p>
      <w:pPr>
        <w:spacing w:before="79" w:after="0" w:lineRule="auto"/>
        <w:ind w:leftChars="274"/>
        <w:jc w:val="left"/>
      </w:pPr>
      <w:r>
        <w:rPr>
          <w:rFonts w:ascii="FZSSK--GBK1-0" w:hAnsi="FZSSK--GBK1-0" w:cs="FZSSK--GBK1-0" w:eastAsia="FZSSK--GBK1-0"/>
          <w:b w:val="false"/>
          <w:color w:val="000000"/>
          <w:sz w:val="22"/>
          <w:u w:val="none"/>
        </w:rPr>
        <w:t>（二）数字法学是领域法学吗？</w:t>
      </w:r>
    </w:p>
    <w:p>
      <w:pPr>
        <w:spacing w:before="123" w:after="0" w:lineRule="auto"/>
        <w:ind w:firstLineChars="150" w:leftChars="130"/>
        <w:jc w:val="left"/>
      </w:pPr>
      <w:r>
        <w:rPr>
          <w:rFonts w:ascii="FZSSK--GBK1-0" w:hAnsi="FZSSK--GBK1-0" w:cs="FZSSK--GBK1-0" w:eastAsia="FZSSK--GBK1-0"/>
          <w:b w:val="false"/>
          <w:color w:val="000000"/>
          <w:sz w:val="22"/>
          <w:u w:val="none"/>
        </w:rPr>
        <w:t>近年来，领域法学这一概念逐渐被学界关注，特别是在经济法领域，“问题”与“领域”成为经济法</w:t>
      </w:r>
      <w:r>
        <w:rPr>
          <w:rFonts w:ascii="FZSSK--GBK1-0" w:hAnsi="FZSSK--GBK1-0" w:cs="FZSSK--GBK1-0" w:eastAsia="FZSSK--GBK1-0"/>
          <w:b w:val="false"/>
          <w:color w:val="000000"/>
          <w:sz w:val="22"/>
          <w:u w:val="none"/>
        </w:rPr>
        <w:t xml:space="preserve"> 学研究范式的争论焦点。该概念受关注的原因是部分学者已经发现部门法划分模式所存在的局限性，</w:t>
      </w:r>
      <w:r>
        <w:rPr>
          <w:rFonts w:ascii="FZSSK--GBK1-0" w:hAnsi="FZSSK--GBK1-0" w:cs="FZSSK--GBK1-0" w:eastAsia="FZSSK--GBK1-0"/>
          <w:b w:val="false"/>
          <w:color w:val="000000"/>
          <w:sz w:val="22"/>
          <w:u w:val="none"/>
        </w:rPr>
        <w:t>部门法划分的前提是业已存在足够的法律规范和相应的研究范式，但是，在面对现代社会出现的复杂</w:t>
      </w:r>
      <w:r>
        <w:rPr>
          <w:rFonts w:ascii="FZSSK--GBK1-0" w:hAnsi="FZSSK--GBK1-0" w:cs="FZSSK--GBK1-0" w:eastAsia="FZSSK--GBK1-0"/>
          <w:b w:val="false"/>
          <w:color w:val="000000"/>
          <w:sz w:val="22"/>
          <w:u w:val="none"/>
        </w:rPr>
        <w:t xml:space="preserve"> 社会问题时，新兴法律领域缺乏相应的规范基础，并且需要“关注并回应这一领域所有相关的技术知</w:t>
      </w:r>
      <w:r>
        <w:rPr>
          <w:rFonts w:ascii="FZSSK--GBK1-0" w:hAnsi="FZSSK--GBK1-0" w:cs="FZSSK--GBK1-0" w:eastAsia="FZSSK--GBK1-0"/>
          <w:b w:val="false"/>
          <w:color w:val="000000"/>
          <w:sz w:val="22"/>
          <w:u w:val="none"/>
        </w:rPr>
        <w:t xml:space="preserve"> 识、政策走向与突发事件”〔17〕，部门法学的研究范式难以有效回应这些新兴交叉问题。为此，领域法</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241300</wp:posOffset>
            </wp:positionH>
            <wp:positionV relativeFrom="paragraph">
              <wp:posOffset>342900</wp:posOffset>
            </wp:positionV>
            <wp:extent cy="25400" cx="1460500"/>
            <wp:effectExtent b="0" r="0" t="0" l="0"/>
            <wp:wrapTopAndBottom/>
            <wp:docPr name="note_line_image15.jpeg" id="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5.jpeg" id="15"/>
                    <pic:cNvPicPr/>
                  </pic:nvPicPr>
                  <pic:blipFill>
                    <a:blip r:embed="rId19"/>
                    <a:stretch>
                      <a:fillRect/>
                    </a:stretch>
                  </pic:blipFill>
                  <pic:spPr>
                    <a:xfrm>
                      <a:off y="0" x="0"/>
                      <a:ext cy="25400" cx="1460500"/>
                    </a:xfrm>
                    <a:prstGeom prst="rect">
                      <a:avLst/>
                    </a:prstGeom>
                  </pic:spPr>
                </pic:pic>
              </a:graphicData>
            </a:graphic>
            <wp14:sizeRelH relativeFrom="margin">
              <wp14:pctWidth>0</wp14:pctWidth>
            </wp14:sizeRelH>
            <wp14:sizeRelV relativeFrom="margin">
              <wp14:pctHeight>0</wp14:pctHeight>
            </wp14:sizeRelV>
          </wp:anchor>
        </w:drawing>
      </w:r>
    </w:p>
    <w:p>
      <w:pPr>
        <w:spacing w:before="273" w:after="0" w:lineRule="auto"/>
        <w:ind w:leftChars="239"/>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〔17〕王桦宇：《论领域法学作为法学研究的新思维——兼论财税法学研究范式转型》，载《政法论丛》2016年第 6期，第 64页。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50800</wp:posOffset>
            </wp:positionH>
            <wp:positionV relativeFrom="paragraph">
              <wp:posOffset>12700</wp:posOffset>
            </wp:positionV>
            <wp:extent cy="12700" cx="17653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12700" cx="1765300"/>
                    </a:xfrm>
                    <a:prstGeom prst="rect">
                      <a:avLst/>
                    </a:prstGeom>
                  </pic:spPr>
                </pic:pic>
              </a:graphicData>
            </a:graphic>
            <wp14:sizeRelH relativeFrom="margin">
              <wp14:pctWidth>0</wp14:pctWidth>
            </wp14:sizeRelH>
            <wp14:sizeRelV relativeFrom="margin">
              <wp14:pctHeight>0</wp14:pctHeight>
            </wp14:sizeRelV>
          </wp:anchor>
        </w:drawing>
      </w:r>
    </w:p>
    <w:p>
      <w:pPr>
        <w:spacing w:before="308" w:after="0" w:lineRule="auto"/>
        <w:ind w:leftChars="14"/>
        <w:jc w:val="left"/>
      </w:pPr>
      <w:r>
        <w:rPr>
          <w:rFonts w:ascii="FZSSK--GBK1-0" w:hAnsi="FZSSK--GBK1-0" w:cs="FZSSK--GBK1-0" w:eastAsia="FZSSK--GBK1-0"/>
          <w:b w:val="false"/>
          <w:color w:val="000000"/>
          <w:sz w:val="22"/>
          <w:u w:val="none"/>
        </w:rPr>
        <w:t>学更加侧重以“领域”划定“研究问题”，即法学研究对象是以某一特定经济社会领域所有相关的法律</w:t>
      </w:r>
      <w:r>
        <w:rPr>
          <w:rFonts w:ascii="FZSSK--GBK1-0" w:hAnsi="FZSSK--GBK1-0" w:cs="FZSSK--GBK1-0" w:eastAsia="FZSSK--GBK1-0"/>
          <w:b w:val="false"/>
          <w:color w:val="000000"/>
          <w:sz w:val="22"/>
          <w:u w:val="none"/>
        </w:rPr>
        <w:t xml:space="preserve"> 问题为导向，形成相对独立的研究体系。此种法学研究范式将个体性的具体问题转化为同质性的问</w:t>
      </w:r>
      <w:r>
        <w:rPr>
          <w:rFonts w:ascii="FZSSK--GBK1-0" w:hAnsi="FZSSK--GBK1-0" w:cs="FZSSK--GBK1-0" w:eastAsia="FZSSK--GBK1-0"/>
          <w:b w:val="false"/>
          <w:color w:val="000000"/>
          <w:sz w:val="22"/>
          <w:u w:val="none"/>
        </w:rPr>
        <w:t xml:space="preserve"> 题领域，进而解决不同部门法之间可能存在的法律冲突以及规则衔接不畅等问题。</w:t>
      </w:r>
    </w:p>
    <w:p>
      <w:pPr>
        <w:spacing w:before="114" w:after="0" w:lineRule="auto"/>
        <w:ind w:firstLineChars="147" w:leftChars="11"/>
        <w:jc w:val="left"/>
      </w:pPr>
      <w:r>
        <w:rPr>
          <w:rFonts w:ascii="FZSSK--GBK1-0" w:hAnsi="FZSSK--GBK1-0" w:cs="FZSSK--GBK1-0" w:eastAsia="FZSSK--GBK1-0"/>
          <w:b w:val="false"/>
          <w:color w:val="000000"/>
          <w:sz w:val="22"/>
          <w:u w:val="none"/>
        </w:rPr>
        <w:t>数字法学是否属于领域法学的问题实际上也是“数字”是否属于“领域”范畴的判断问题。领域</w:t>
      </w:r>
      <w:r>
        <w:rPr>
          <w:rFonts w:ascii="FZSSK--GBK1-0" w:hAnsi="FZSSK--GBK1-0" w:cs="FZSSK--GBK1-0" w:eastAsia="FZSSK--GBK1-0"/>
          <w:b w:val="false"/>
          <w:color w:val="000000"/>
          <w:sz w:val="22"/>
          <w:u w:val="none"/>
        </w:rPr>
        <w:t xml:space="preserve"> 法学中的“领域”本质是特定类型社会活动的范畴。不过，学界目前对于“领域”主要存在三类观点：</w:t>
      </w:r>
      <w:r>
        <w:rPr>
          <w:rFonts w:ascii="FZSSK--GBK1-0" w:hAnsi="FZSSK--GBK1-0" w:cs="FZSSK--GBK1-0" w:eastAsia="FZSSK--GBK1-0"/>
          <w:b w:val="false"/>
          <w:color w:val="000000"/>
          <w:sz w:val="22"/>
          <w:u w:val="none"/>
        </w:rPr>
        <w:t>一是将“领域”解释为“特定的研究线索”，如具体的民事权利、法律客体的实际功能等。〔18〕二是将“领</w:t>
      </w:r>
      <w:r>
        <w:rPr>
          <w:rFonts w:ascii="FZSSK--GBK1-0" w:hAnsi="FZSSK--GBK1-0" w:cs="FZSSK--GBK1-0" w:eastAsia="FZSSK--GBK1-0"/>
          <w:b w:val="false"/>
          <w:color w:val="000000"/>
          <w:sz w:val="22"/>
          <w:u w:val="none"/>
        </w:rPr>
        <w:t xml:space="preserve"> 域”解释为诸如财政税收、环境保护、城市建设等公共领域，因为这些领域的问题具有公共性和系统性</w:t>
      </w:r>
      <w:r>
        <w:rPr>
          <w:rFonts w:ascii="FZSSK--GBK1-0" w:hAnsi="FZSSK--GBK1-0" w:cs="FZSSK--GBK1-0" w:eastAsia="FZSSK--GBK1-0"/>
          <w:b w:val="false"/>
          <w:color w:val="000000"/>
          <w:sz w:val="22"/>
          <w:u w:val="none"/>
        </w:rPr>
        <w:t xml:space="preserve"> 特征，需要特定的知识体系予以回应。〔19〕例如，有学者在解释教育法学的“领域”概念时，以教育治</w:t>
      </w:r>
      <w:r>
        <w:rPr>
          <w:rFonts w:ascii="FZSSK--GBK1-0" w:hAnsi="FZSSK--GBK1-0" w:cs="FZSSK--GBK1-0" w:eastAsia="FZSSK--GBK1-0"/>
          <w:b w:val="false"/>
          <w:color w:val="000000"/>
          <w:sz w:val="22"/>
          <w:u w:val="none"/>
        </w:rPr>
        <w:t xml:space="preserve"> 理活动为依托，将“领域”定位为包括教育立法、教育执法、教育司法、法治教育等在内的一系列运行</w:t>
      </w:r>
      <w:r>
        <w:rPr>
          <w:rFonts w:ascii="FZSSK--GBK1-0" w:hAnsi="FZSSK--GBK1-0" w:cs="FZSSK--GBK1-0" w:eastAsia="FZSSK--GBK1-0"/>
          <w:b w:val="false"/>
          <w:color w:val="000000"/>
          <w:sz w:val="22"/>
          <w:u w:val="none"/>
        </w:rPr>
        <w:t xml:space="preserve"> 过程。〔20〕三是将“领域”解释为存在内在自足的规范体系，即“特定领域中社会关系组成机构、利益</w:t>
      </w:r>
      <w:r>
        <w:rPr>
          <w:rFonts w:ascii="FZSSK--GBK1-0" w:hAnsi="FZSSK--GBK1-0" w:cs="FZSSK--GBK1-0" w:eastAsia="FZSSK--GBK1-0"/>
          <w:b w:val="false"/>
          <w:color w:val="000000"/>
          <w:sz w:val="22"/>
          <w:u w:val="none"/>
        </w:rPr>
        <w:t xml:space="preserve"> 分配模式已经被该领域运行的一般原理、历史惯例相对固化，形成了相对具有自足性的规则、习惯、文</w:t>
      </w:r>
      <w:r>
        <w:rPr>
          <w:rFonts w:ascii="FZSSK--GBK1-0" w:hAnsi="FZSSK--GBK1-0" w:cs="FZSSK--GBK1-0" w:eastAsia="FZSSK--GBK1-0"/>
          <w:b w:val="false"/>
          <w:color w:val="000000"/>
          <w:sz w:val="22"/>
          <w:u w:val="none"/>
        </w:rPr>
        <w:t xml:space="preserve"> 化群落”。〔21〕这些“领域”概念均强调了法学研究领域的相对独立性和知识要素的体系性，但同时也</w:t>
      </w:r>
      <w:r>
        <w:rPr>
          <w:rFonts w:ascii="FZSSK--GBK1-0" w:hAnsi="FZSSK--GBK1-0" w:cs="FZSSK--GBK1-0" w:eastAsia="FZSSK--GBK1-0"/>
          <w:b w:val="false"/>
          <w:color w:val="000000"/>
          <w:sz w:val="22"/>
          <w:u w:val="none"/>
        </w:rPr>
        <w:t xml:space="preserve"> 存在概念界限不明确的问题。既未能正面回应不同“领域”之间如何进行区分，也未能阐明为何存在</w:t>
      </w:r>
      <w:r>
        <w:rPr>
          <w:rFonts w:ascii="FZSSK--GBK1-0" w:hAnsi="FZSSK--GBK1-0" w:cs="FZSSK--GBK1-0" w:eastAsia="FZSSK--GBK1-0"/>
          <w:b w:val="false"/>
          <w:color w:val="000000"/>
          <w:sz w:val="22"/>
          <w:u w:val="none"/>
        </w:rPr>
        <w:t xml:space="preserve"> “大领域”“小领域”的划分情形，这也导致领域法学概念具有相当的不确定性。</w:t>
      </w:r>
    </w:p>
    <w:p>
      <w:pPr>
        <w:spacing w:before="132" w:after="0" w:lineRule="auto"/>
        <w:ind w:firstLineChars="147" w:leftChars="17"/>
        <w:jc w:val="left"/>
      </w:pPr>
      <w:r>
        <w:rPr>
          <w:rFonts w:ascii="FZSSK--GBK1-0" w:hAnsi="FZSSK--GBK1-0" w:cs="FZSSK--GBK1-0" w:eastAsia="FZSSK--GBK1-0"/>
          <w:b w:val="false"/>
          <w:color w:val="000000"/>
          <w:sz w:val="22"/>
          <w:u w:val="none"/>
        </w:rPr>
        <w:t>数字法学中的“数字”虽也包含“领域”之义，但实际范围却是以数字技术创新应用风险为导向，</w:t>
      </w:r>
      <w:r>
        <w:rPr>
          <w:rFonts w:ascii="FZSSK--GBK1-0" w:hAnsi="FZSSK--GBK1-0" w:cs="FZSSK--GBK1-0" w:eastAsia="FZSSK--GBK1-0"/>
          <w:b w:val="false"/>
          <w:color w:val="000000"/>
          <w:sz w:val="22"/>
          <w:u w:val="none"/>
        </w:rPr>
        <w:t>这种宽泛笼统的研究范围并不符合领域法学所强调的“相对独立的研究体系”。更确切地说，数字法</w:t>
      </w:r>
      <w:r>
        <w:rPr>
          <w:rFonts w:ascii="FZSSK--GBK1-0" w:hAnsi="FZSSK--GBK1-0" w:cs="FZSSK--GBK1-0" w:eastAsia="FZSSK--GBK1-0"/>
          <w:b w:val="false"/>
          <w:color w:val="000000"/>
          <w:sz w:val="22"/>
          <w:u w:val="none"/>
        </w:rPr>
        <w:t xml:space="preserve"> 学中的“数字”指向的是数字社会和数字技术这些社会实践基础，而非具体的问题领域。并且，数字</w:t>
      </w:r>
      <w:r>
        <w:rPr>
          <w:rFonts w:ascii="FZSSK--GBK1-0" w:hAnsi="FZSSK--GBK1-0" w:cs="FZSSK--GBK1-0" w:eastAsia="FZSSK--GBK1-0"/>
          <w:b w:val="false"/>
          <w:color w:val="000000"/>
          <w:sz w:val="22"/>
          <w:u w:val="none"/>
        </w:rPr>
        <w:t xml:space="preserve"> 法学本身属于现代法学的一种研究模式、研究阶段，其相对应的概念是传统法学，而领域法学相对应</w:t>
      </w:r>
      <w:r>
        <w:rPr>
          <w:rFonts w:ascii="FZSSK--GBK1-0" w:hAnsi="FZSSK--GBK1-0" w:cs="FZSSK--GBK1-0" w:eastAsia="FZSSK--GBK1-0"/>
          <w:b w:val="false"/>
          <w:color w:val="000000"/>
          <w:sz w:val="22"/>
          <w:u w:val="none"/>
        </w:rPr>
        <w:t xml:space="preserve"> 的概念则是部门法学。因此，数字法学与领域法学并非属于同一维度的法学概念，无法以“数字法学</w:t>
      </w:r>
      <w:r>
        <w:rPr>
          <w:rFonts w:ascii="FZSSK--GBK1-0" w:hAnsi="FZSSK--GBK1-0" w:cs="FZSSK--GBK1-0" w:eastAsia="FZSSK--GBK1-0"/>
          <w:b w:val="false"/>
          <w:color w:val="000000"/>
          <w:sz w:val="22"/>
          <w:u w:val="none"/>
        </w:rPr>
        <w:t xml:space="preserve"> 属于领域法学”这种归属逻辑予以说明。相对地，数据法学、网络法学、人工智能法学等概念更适宜作</w:t>
      </w:r>
      <w:r>
        <w:rPr>
          <w:rFonts w:ascii="FZSSK--GBK1-0" w:hAnsi="FZSSK--GBK1-0" w:cs="FZSSK--GBK1-0" w:eastAsia="FZSSK--GBK1-0"/>
          <w:b w:val="false"/>
          <w:color w:val="000000"/>
          <w:sz w:val="22"/>
          <w:u w:val="none"/>
        </w:rPr>
        <w:t xml:space="preserve"> 为领域法学予以理解，因为这些概念是以特定研究客体、研究对象作为核心要素，符合领域法学的“研</w:t>
      </w:r>
      <w:r>
        <w:rPr>
          <w:rFonts w:ascii="FZSSK--GBK1-0" w:hAnsi="FZSSK--GBK1-0" w:cs="FZSSK--GBK1-0" w:eastAsia="FZSSK--GBK1-0"/>
          <w:b w:val="false"/>
          <w:color w:val="000000"/>
          <w:sz w:val="22"/>
          <w:u w:val="none"/>
        </w:rPr>
        <w:t xml:space="preserve"> 究问题聚焦”之特征。</w:t>
      </w:r>
    </w:p>
    <w:p>
      <w:pPr>
        <w:spacing w:before="123" w:after="0" w:lineRule="auto"/>
        <w:ind w:leftChars="156"/>
        <w:jc w:val="left"/>
      </w:pPr>
      <w:r>
        <w:rPr>
          <w:rFonts w:ascii="FZSSK--GBK1-0" w:hAnsi="FZSSK--GBK1-0" w:cs="FZSSK--GBK1-0" w:eastAsia="FZSSK--GBK1-0"/>
          <w:b w:val="false"/>
          <w:color w:val="000000"/>
          <w:sz w:val="22"/>
          <w:u w:val="none"/>
        </w:rPr>
        <w:t>（三）数字法学是应用法学吗？</w:t>
      </w:r>
    </w:p>
    <w:p>
      <w:pPr>
        <w:spacing w:before="106" w:after="0" w:lineRule="auto"/>
        <w:ind w:firstLineChars="147" w:leftChars="11"/>
        <w:jc w:val="left"/>
      </w:pPr>
      <w:r>
        <w:rPr>
          <w:rFonts w:ascii="FZSSK--GBK1-0" w:hAnsi="FZSSK--GBK1-0" w:cs="FZSSK--GBK1-0" w:eastAsia="FZSSK--GBK1-0"/>
          <w:b w:val="false"/>
          <w:color w:val="000000"/>
          <w:sz w:val="22"/>
          <w:u w:val="none"/>
        </w:rPr>
        <w:t>新兴数字社会风险对数字法学的另一个重要影响在于，风险治理需求具有迫切性，导致数字法学</w:t>
      </w:r>
      <w:r>
        <w:rPr>
          <w:rFonts w:ascii="FZSSK--GBK1-0" w:hAnsi="FZSSK--GBK1-0" w:cs="FZSSK--GBK1-0" w:eastAsia="FZSSK--GBK1-0"/>
          <w:b w:val="false"/>
          <w:color w:val="000000"/>
          <w:sz w:val="22"/>
          <w:u w:val="none"/>
        </w:rPr>
        <w:t xml:space="preserve"> 研究更加侧重制度层面的建构和法律适用层面的解释。换言之，因为数字技术创新风险与内部稳定</w:t>
      </w:r>
      <w:r>
        <w:rPr>
          <w:rFonts w:ascii="FZSSK--GBK1-0" w:hAnsi="FZSSK--GBK1-0" w:cs="FZSSK--GBK1-0" w:eastAsia="FZSSK--GBK1-0"/>
          <w:b w:val="false"/>
          <w:color w:val="000000"/>
          <w:sz w:val="22"/>
          <w:u w:val="none"/>
        </w:rPr>
        <w:t xml:space="preserve"> 的法律体系之间存在严重脱节，数字社会治理活动需要法律在短时间内提供有效的规范工具，用以解</w:t>
      </w:r>
      <w:r>
        <w:rPr>
          <w:rFonts w:ascii="FZSSK--GBK1-0" w:hAnsi="FZSSK--GBK1-0" w:cs="FZSSK--GBK1-0" w:eastAsia="FZSSK--GBK1-0"/>
          <w:b w:val="false"/>
          <w:color w:val="000000"/>
          <w:sz w:val="22"/>
          <w:u w:val="none"/>
        </w:rPr>
        <w:t xml:space="preserve"> 决各类新兴法律问题。这一点从我国数字立法实践活动也能窥见一二：在《网络安全法》等基本法律</w:t>
      </w:r>
      <w:r>
        <w:rPr>
          <w:rFonts w:ascii="FZSSK--GBK1-0" w:hAnsi="FZSSK--GBK1-0" w:cs="FZSSK--GBK1-0" w:eastAsia="FZSSK--GBK1-0"/>
          <w:b w:val="false"/>
          <w:color w:val="000000"/>
          <w:sz w:val="22"/>
          <w:u w:val="none"/>
        </w:rPr>
        <w:t xml:space="preserve"> 确立之后，面向跨境数据传输、人脸识别技术应用、深度合成技术应用等具体技术应用场景的法律也</w:t>
      </w:r>
      <w:r>
        <w:rPr>
          <w:rFonts w:ascii="FZSSK--GBK1-0" w:hAnsi="FZSSK--GBK1-0" w:cs="FZSSK--GBK1-0" w:eastAsia="FZSSK--GBK1-0"/>
          <w:b w:val="false"/>
          <w:color w:val="000000"/>
          <w:sz w:val="22"/>
          <w:u w:val="none"/>
        </w:rPr>
        <w:t xml:space="preserve"> 在短时间内相继出台，这是过去立法活动所不具备的特殊现象。当然，这种立法活动并不是仓促立法</w:t>
      </w:r>
      <w:r>
        <w:rPr>
          <w:rFonts w:ascii="FZSSK--GBK1-0" w:hAnsi="FZSSK--GBK1-0" w:cs="FZSSK--GBK1-0" w:eastAsia="FZSSK--GBK1-0"/>
          <w:b w:val="false"/>
          <w:color w:val="000000"/>
          <w:sz w:val="22"/>
          <w:u w:val="none"/>
        </w:rPr>
        <w:t xml:space="preserve"> 或者应急立法，而是数字时代下立法工作需要社会实践问题维持相对同步的状态。倘若按照过去“理</w:t>
      </w:r>
      <w:r>
        <w:rPr>
          <w:rFonts w:ascii="FZSSK--GBK1-0" w:hAnsi="FZSSK--GBK1-0" w:cs="FZSSK--GBK1-0" w:eastAsia="FZSSK--GBK1-0"/>
          <w:b w:val="false"/>
          <w:color w:val="000000"/>
          <w:sz w:val="22"/>
          <w:u w:val="none"/>
        </w:rPr>
        <w:t xml:space="preserve"> 论探讨—理论成熟—制度成型—制度建构”的逻辑开展立法活动，有可能导致立法成果与社会实践始</w:t>
      </w:r>
      <w:r>
        <w:rPr>
          <w:rFonts w:ascii="FZSSK--GBK1-0" w:hAnsi="FZSSK--GBK1-0" w:cs="FZSSK--GBK1-0" w:eastAsia="FZSSK--GBK1-0"/>
          <w:b w:val="false"/>
          <w:color w:val="000000"/>
          <w:sz w:val="22"/>
          <w:u w:val="none"/>
        </w:rPr>
        <w:t xml:space="preserve"> 终存在割裂的状态。数字立法的典型特征在于遵循了基本制度与具体制度的协同立法的基本理念。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177800</wp:posOffset>
            </wp:positionV>
            <wp:extent cy="25400" cx="1447800"/>
            <wp:effectExtent b="0" r="0" t="0" l="0"/>
            <wp:wrapTopAndBottom/>
            <wp:docPr name="note_line_image16.jpeg" id="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6.jpeg" id="16"/>
                    <pic:cNvPicPr/>
                  </pic:nvPicPr>
                  <pic:blipFill>
                    <a:blip r:embed="rId20"/>
                    <a:stretch>
                      <a:fillRect/>
                    </a:stretch>
                  </pic:blipFill>
                  <pic:spPr>
                    <a:xfrm>
                      <a:off y="0" x="0"/>
                      <a:ext cy="25400" cx="1447800"/>
                    </a:xfrm>
                    <a:prstGeom prst="rect">
                      <a:avLst/>
                    </a:prstGeom>
                  </pic:spPr>
                </pic:pic>
              </a:graphicData>
            </a:graphic>
            <wp14:sizeRelH relativeFrom="margin">
              <wp14:pctWidth>0</wp14:pctWidth>
            </wp14:sizeRelH>
            <wp14:sizeRelV relativeFrom="margin">
              <wp14:pctHeight>0</wp14:pctHeight>
            </wp14:sizeRelV>
          </wp:anchor>
        </w:drawing>
      </w:r>
    </w:p>
    <w:p>
      <w:pPr>
        <w:spacing w:before="282" w:after="0" w:lineRule="auto"/>
        <w:ind w:leftChars="141"/>
        <w:jc w:val="left"/>
      </w:pPr>
      <w:r>
        <w:rPr>
          <w:rFonts w:ascii="FZSSK--GBK1-0" w:hAnsi="FZSSK--GBK1-0" w:cs="FZSSK--GBK1-0" w:eastAsia="FZSSK--GBK1-0"/>
          <w:b w:val="false"/>
          <w:color w:val="231f20"/>
          <w:sz w:val="20"/>
          <w:u w:val="none"/>
        </w:rPr>
        <w:t>〔18〕参见何松威：《论领域法的私法研究范式——以〈个人信息保护法〉研究为例》，载《当代法学》2022年第 4期，第 100-101页。</w:t>
      </w:r>
    </w:p>
    <w:p>
      <w:pPr>
        <w:spacing w:before="62" w:after="0" w:lineRule="auto"/>
        <w:ind w:firstLineChars="88" w:leftChars="17"/>
        <w:jc w:val="left"/>
      </w:pPr>
      <w:r>
        <w:rPr>
          <w:rFonts w:ascii="FZSSK--GBK1-0" w:hAnsi="FZSSK--GBK1-0" w:cs="FZSSK--GBK1-0" w:eastAsia="FZSSK--GBK1-0"/>
          <w:b w:val="false"/>
          <w:color w:val="231f20"/>
          <w:sz w:val="20"/>
          <w:u w:val="none"/>
        </w:rPr>
        <w:t>〔19〕参见吴凯：《论领域法学研究的动态演化与功能拓展——以美国“领域法”现象为镜鉴》，载《政法论丛》2017年第 1期，</w:t>
      </w:r>
      <w:r>
        <w:rPr>
          <w:rFonts w:ascii="FZSSK--GBK1-0" w:hAnsi="FZSSK--GBK1-0" w:cs="FZSSK--GBK1-0" w:eastAsia="FZSSK--GBK1-0"/>
          <w:b w:val="false"/>
          <w:color w:val="231f20"/>
          <w:sz w:val="20"/>
          <w:u w:val="none"/>
        </w:rPr>
        <w:t>第 80-81页。</w:t>
      </w:r>
    </w:p>
    <w:p>
      <w:pPr>
        <w:spacing w:before="79" w:after="0" w:lineRule="auto"/>
        <w:ind w:firstLineChars="88" w:leftChars="20"/>
        <w:jc w:val="left"/>
      </w:pPr>
      <w:r>
        <w:rPr>
          <w:rFonts w:ascii="TimesNewRomanPSMT" w:hAnsi="TimesNewRomanPSMT" w:cs="TimesNewRomanPSMT" w:eastAsia="TimesNewRomanPSMT"/>
          <w:b w:val="false"/>
          <w:color w:val="231f20"/>
          <w:sz w:val="20"/>
          <w:u w:val="none"/>
        </w:rPr>
        <w:t>〔20〕参见任海涛、张玉涛：《领域法学视野下教育法学的理论定位与体系建构》，载《湖南师范大学教育科学学报》2021年第 6</w:t>
      </w:r>
      <w:r>
        <w:rPr>
          <w:rFonts w:ascii="TimesNewRomanPSMT" w:hAnsi="TimesNewRomanPSMT" w:cs="TimesNewRomanPSMT" w:eastAsia="TimesNewRomanPSMT"/>
          <w:b w:val="false"/>
          <w:color w:val="231f20"/>
          <w:sz w:val="20"/>
          <w:u w:val="none"/>
        </w:rPr>
        <w:t>期，第 34页。</w:t>
      </w:r>
    </w:p>
    <w:p>
      <w:pPr>
        <w:spacing w:before="70" w:after="0" w:lineRule="auto"/>
        <w:ind w:leftChars="115"/>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〔21〕吴凯、汪劲《：论作为领域法的环境法:问题辨识与规范建构》，载《辽宁大学学报（哲学社会科学版）》2019年第 1期，第 99页。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3835400</wp:posOffset>
            </wp:positionH>
            <wp:positionV relativeFrom="paragraph">
              <wp:posOffset>0</wp:posOffset>
            </wp:positionV>
            <wp:extent cy="25400" cx="1968500"/>
            <wp:effectExtent b="0" r="0" t="0" l="0"/>
            <wp:wrapTopAndBottom/>
            <wp:docPr name="header_line_image14.jpeg" id="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4.jpeg" id="14"/>
                    <pic:cNvPicPr/>
                  </pic:nvPicPr>
                  <pic:blipFill>
                    <a:blip r:embed="rId18"/>
                    <a:stretch>
                      <a:fillRect/>
                    </a:stretch>
                  </pic:blipFill>
                  <pic:spPr>
                    <a:xfrm>
                      <a:off y="0" x="0"/>
                      <a:ext cy="25400" cx="1968500"/>
                    </a:xfrm>
                    <a:prstGeom prst="rect">
                      <a:avLst/>
                    </a:prstGeom>
                  </pic:spPr>
                </pic:pic>
              </a:graphicData>
            </a:graphic>
            <wp14:sizeRelH relativeFrom="margin">
              <wp14:pctWidth>0</wp14:pctWidth>
            </wp14:sizeRelH>
            <wp14:sizeRelV relativeFrom="margin">
              <wp14:pctHeight>0</wp14:pctHeight>
            </wp14:sizeRelV>
          </wp:anchor>
        </w:drawing>
      </w:r>
    </w:p>
    <w:p>
      <w:pPr>
        <w:spacing w:before="299" w:after="0" w:lineRule="auto"/>
        <w:ind w:firstLineChars="150" w:leftChars="130"/>
        <w:jc w:val="left"/>
      </w:pPr>
      <w:r>
        <w:rPr>
          <w:rFonts w:ascii="FZSSK--GBK1-0" w:hAnsi="FZSSK--GBK1-0" w:cs="FZSSK--GBK1-0" w:eastAsia="FZSSK--GBK1-0"/>
          <w:b w:val="false"/>
          <w:color w:val="000000"/>
          <w:sz w:val="22"/>
          <w:u w:val="none"/>
        </w:rPr>
        <w:t>数字法学的实践取向不仅仅是指以具体的部门法问题为研究对象，还强调数字法学研究结果的</w:t>
      </w:r>
      <w:r>
        <w:rPr>
          <w:rFonts w:ascii="FZSSK--GBK1-0" w:hAnsi="FZSSK--GBK1-0" w:cs="FZSSK--GBK1-0" w:eastAsia="FZSSK--GBK1-0"/>
          <w:b w:val="false"/>
          <w:color w:val="000000"/>
          <w:sz w:val="22"/>
          <w:u w:val="none"/>
        </w:rPr>
        <w:t xml:space="preserve"> 实践应用性。在数据财产权研究过程中，早期的研究内容聚焦于数据财产权的法律性质、体系定位和</w:t>
      </w:r>
      <w:r>
        <w:rPr>
          <w:rFonts w:ascii="FZSSK--GBK1-0" w:hAnsi="FZSSK--GBK1-0" w:cs="FZSSK--GBK1-0" w:eastAsia="FZSSK--GBK1-0"/>
          <w:b w:val="false"/>
          <w:color w:val="000000"/>
          <w:sz w:val="22"/>
          <w:u w:val="none"/>
        </w:rPr>
        <w:t xml:space="preserve"> 具体内容，同时也在制度建构层面提及平衡数据安全与数据利用的重要性。但是，在数据要素市场化</w:t>
      </w:r>
      <w:r>
        <w:rPr>
          <w:rFonts w:ascii="FZSSK--GBK1-0" w:hAnsi="FZSSK--GBK1-0" w:cs="FZSSK--GBK1-0" w:eastAsia="FZSSK--GBK1-0"/>
          <w:b w:val="false"/>
          <w:color w:val="000000"/>
          <w:sz w:val="22"/>
          <w:u w:val="none"/>
        </w:rPr>
        <w:t xml:space="preserve"> 配置的政策导向下，学者们开始意识到按照传统权利理论解释数据财产权可能无法取得实质性突破，</w:t>
      </w:r>
      <w:r>
        <w:rPr>
          <w:rFonts w:ascii="FZSSK--GBK1-0" w:hAnsi="FZSSK--GBK1-0" w:cs="FZSSK--GBK1-0" w:eastAsia="FZSSK--GBK1-0"/>
          <w:b w:val="false"/>
          <w:color w:val="000000"/>
          <w:sz w:val="22"/>
          <w:u w:val="none"/>
        </w:rPr>
        <w:t>故而开始依托数据经济价值贡献程度、数据资产入表等要素，转向论证特定市场交易环境下多元化的</w:t>
      </w:r>
      <w:r>
        <w:rPr>
          <w:rFonts w:ascii="FZSSK--GBK1-0" w:hAnsi="FZSSK--GBK1-0" w:cs="FZSSK--GBK1-0" w:eastAsia="FZSSK--GBK1-0"/>
          <w:b w:val="false"/>
          <w:color w:val="000000"/>
          <w:sz w:val="22"/>
          <w:u w:val="none"/>
        </w:rPr>
        <w:t xml:space="preserve"> 数据财产权益分配机制和交易机制，避免数据财产制度体系与市场交易实践之间发生理论与实践的</w:t>
      </w:r>
      <w:r>
        <w:rPr>
          <w:rFonts w:ascii="FZSSK--GBK1-0" w:hAnsi="FZSSK--GBK1-0" w:cs="FZSSK--GBK1-0" w:eastAsia="FZSSK--GBK1-0"/>
          <w:b w:val="false"/>
          <w:color w:val="000000"/>
          <w:sz w:val="22"/>
          <w:u w:val="none"/>
        </w:rPr>
        <w:t xml:space="preserve"> 严重脱节。综合而言，数字法学包含了应用法学的研究范畴和研究范式，但因其研究路径存在“充分</w:t>
      </w:r>
      <w:r>
        <w:rPr>
          <w:rFonts w:ascii="FZSSK--GBK1-0" w:hAnsi="FZSSK--GBK1-0" w:cs="FZSSK--GBK1-0" w:eastAsia="FZSSK--GBK1-0"/>
          <w:b w:val="false"/>
          <w:color w:val="000000"/>
          <w:sz w:val="22"/>
          <w:u w:val="none"/>
        </w:rPr>
        <w:t xml:space="preserve"> 的理论剖析支撑制度建构的实践化”之逻辑，故而在研究内容层面也包含了理论法学的基本特征。</w:t>
      </w:r>
    </w:p>
    <w:p>
      <w:pPr>
        <w:spacing w:before="449" w:after="0" w:lineRule="auto"/>
        <w:jc w:val="center"/>
      </w:pPr>
      <w:r>
        <w:rPr>
          <w:rFonts w:ascii="FZSSK--GBK1-0" w:hAnsi="FZSSK--GBK1-0" w:cs="FZSSK--GBK1-0" w:eastAsia="FZSSK--GBK1-0"/>
          <w:b w:val="false"/>
          <w:color w:val="000000"/>
          <w:sz w:val="30"/>
          <w:u w:val="none"/>
        </w:rPr>
        <w:t>五、数字法学的研究路径：以人工智能法学为例</w:t>
      </w:r>
    </w:p>
    <w:p>
      <w:pPr>
        <w:spacing w:before="387" w:after="0" w:lineRule="auto"/>
        <w:ind w:leftChars="274"/>
        <w:jc w:val="left"/>
      </w:pPr>
      <w:r>
        <w:rPr>
          <w:rFonts w:ascii="FZSSK--GBK1-0" w:hAnsi="FZSSK--GBK1-0" w:cs="FZSSK--GBK1-0" w:eastAsia="FZSSK--GBK1-0"/>
          <w:b w:val="false"/>
          <w:color w:val="000000"/>
          <w:sz w:val="22"/>
          <w:u w:val="none"/>
        </w:rPr>
        <w:t>（一）数字法学的研究范畴区分：人工智能治理的新问题与旧问题</w:t>
      </w:r>
    </w:p>
    <w:p>
      <w:pPr>
        <w:spacing w:before="79" w:after="0" w:lineRule="auto"/>
        <w:ind w:firstLineChars="150" w:leftChars="133"/>
        <w:jc w:val="left"/>
      </w:pPr>
      <w:r>
        <w:rPr>
          <w:rFonts w:ascii="FZSSK--GBK1-0" w:hAnsi="FZSSK--GBK1-0" w:cs="FZSSK--GBK1-0" w:eastAsia="FZSSK--GBK1-0"/>
          <w:b w:val="false"/>
          <w:color w:val="000000"/>
          <w:sz w:val="22"/>
          <w:u w:val="none"/>
        </w:rPr>
        <w:t>纠缠于数字法学概念和定位的争论并非毫无意义，这是为了避免“数字”概念自身的不确定性导</w:t>
      </w:r>
      <w:r>
        <w:rPr>
          <w:rFonts w:ascii="FZSSK--GBK1-0" w:hAnsi="FZSSK--GBK1-0" w:cs="FZSSK--GBK1-0" w:eastAsia="FZSSK--GBK1-0"/>
          <w:b w:val="false"/>
          <w:color w:val="000000"/>
          <w:sz w:val="22"/>
          <w:u w:val="none"/>
        </w:rPr>
        <w:t xml:space="preserve"> 致研究范畴、研究范式的过度扩张，进而淡化法学学科的独立性。数字技术风险所产生的社会治理问</w:t>
      </w:r>
      <w:r>
        <w:rPr>
          <w:rFonts w:ascii="FZSSK--GBK1-0" w:hAnsi="FZSSK--GBK1-0" w:cs="FZSSK--GBK1-0" w:eastAsia="FZSSK--GBK1-0"/>
          <w:b w:val="false"/>
          <w:color w:val="000000"/>
          <w:sz w:val="22"/>
          <w:u w:val="none"/>
        </w:rPr>
        <w:t xml:space="preserve"> 题往往是多方面的，而这些问题并不都是数字法学研究所应当关注的法律问题。在人工智能治理领</w:t>
      </w:r>
      <w:r>
        <w:rPr>
          <w:rFonts w:ascii="FZSSK--GBK1-0" w:hAnsi="FZSSK--GBK1-0" w:cs="FZSSK--GBK1-0" w:eastAsia="FZSSK--GBK1-0"/>
          <w:b w:val="false"/>
          <w:color w:val="000000"/>
          <w:sz w:val="22"/>
          <w:u w:val="none"/>
        </w:rPr>
        <w:t xml:space="preserve"> 域，研究问题的认知偏差往往导致部分法学研究模糊化，即忽视了法学研究与其他学科研究之间的差</w:t>
      </w:r>
      <w:r>
        <w:rPr>
          <w:rFonts w:ascii="FZSSK--GBK1-0" w:hAnsi="FZSSK--GBK1-0" w:cs="FZSSK--GBK1-0" w:eastAsia="FZSSK--GBK1-0"/>
          <w:b w:val="false"/>
          <w:color w:val="000000"/>
          <w:sz w:val="22"/>
          <w:u w:val="none"/>
        </w:rPr>
        <w:t xml:space="preserve"> 异性，相应的研究结论也停留于应当如何监管技术应用方式，而非特定的法律关系。这些研究偏差实</w:t>
      </w:r>
      <w:r>
        <w:rPr>
          <w:rFonts w:ascii="FZSSK--GBK1-0" w:hAnsi="FZSSK--GBK1-0" w:cs="FZSSK--GBK1-0" w:eastAsia="FZSSK--GBK1-0"/>
          <w:b w:val="false"/>
          <w:color w:val="000000"/>
          <w:sz w:val="22"/>
          <w:u w:val="none"/>
        </w:rPr>
        <w:t xml:space="preserve"> 际上存在“法律万能主义”倾向，忽视了在当下如火如荼的数字法学研究中，法律对于人工智能等数</w:t>
      </w:r>
      <w:r>
        <w:rPr>
          <w:rFonts w:ascii="FZSSK--GBK1-0" w:hAnsi="FZSSK--GBK1-0" w:cs="FZSSK--GBK1-0" w:eastAsia="FZSSK--GBK1-0"/>
          <w:b w:val="false"/>
          <w:color w:val="000000"/>
          <w:sz w:val="22"/>
          <w:u w:val="none"/>
        </w:rPr>
        <w:t xml:space="preserve"> 字技术的作用效果是有限的，误将法律视为人工智能技术风险的唯一且核心的治理工具。</w:t>
      </w:r>
    </w:p>
    <w:p>
      <w:pPr>
        <w:spacing w:before="123" w:after="0" w:lineRule="auto"/>
        <w:ind w:firstLineChars="150" w:leftChars="133"/>
        <w:jc w:val="left"/>
      </w:pPr>
      <w:r>
        <w:rPr>
          <w:rFonts w:ascii="FZSSK--GBK1-0" w:hAnsi="FZSSK--GBK1-0" w:cs="FZSSK--GBK1-0" w:eastAsia="FZSSK--GBK1-0"/>
          <w:b w:val="false"/>
          <w:color w:val="000000"/>
          <w:sz w:val="26"/>
          <w:u w:val="none"/>
        </w:rPr>
        <w:t>人工智能领域的新兴社会问题并不是都能通过法律解释和专项立法等方式予以解决，并且，部分</w:t>
      </w:r>
      <w:r>
        <w:rPr>
          <w:rFonts w:ascii="FZSSK--GBK1-0" w:hAnsi="FZSSK--GBK1-0" w:cs="FZSSK--GBK1-0" w:eastAsia="FZSSK--GBK1-0"/>
          <w:b w:val="false"/>
          <w:color w:val="000000"/>
          <w:sz w:val="26"/>
          <w:u w:val="none"/>
        </w:rPr>
        <w:t xml:space="preserve"> 法律问题也不纯粹是人工智能技术应用所带来的“新问题”，而是以往存在的旧问题再度凸显或者以</w:t>
      </w:r>
      <w:r>
        <w:rPr>
          <w:rFonts w:ascii="FZSSK--GBK1-0" w:hAnsi="FZSSK--GBK1-0" w:cs="FZSSK--GBK1-0" w:eastAsia="FZSSK--GBK1-0"/>
          <w:b w:val="false"/>
          <w:color w:val="000000"/>
          <w:sz w:val="26"/>
          <w:u w:val="none"/>
        </w:rPr>
        <w:t xml:space="preserve"> 另一种形式呈现。在关于人工智能生成内容可版权性的学术论争中，真假问题、新旧问题的争议更为</w:t>
      </w:r>
      <w:r>
        <w:rPr>
          <w:rFonts w:ascii="FZSSK--GBK1-0" w:hAnsi="FZSSK--GBK1-0" w:cs="FZSSK--GBK1-0" w:eastAsia="FZSSK--GBK1-0"/>
          <w:b w:val="false"/>
          <w:color w:val="000000"/>
          <w:sz w:val="26"/>
          <w:u w:val="none"/>
        </w:rPr>
        <w:t xml:space="preserve"> 明显。可版权性认定存在两类争议焦点，一类问题是人工智能能否作为著作权法意义上的“作者”，其</w:t>
      </w:r>
      <w:r>
        <w:rPr>
          <w:rFonts w:ascii="FZSSK--GBK1-0" w:hAnsi="FZSSK--GBK1-0" w:cs="FZSSK--GBK1-0" w:eastAsia="FZSSK--GBK1-0"/>
          <w:b w:val="false"/>
          <w:color w:val="000000"/>
          <w:sz w:val="26"/>
          <w:u w:val="none"/>
        </w:rPr>
        <w:t xml:space="preserve"> 实质是论证人工智能作为法律主体的可能性。尽管部分法理学研究成果存在通过拟制的方式有限度</w:t>
      </w:r>
      <w:r>
        <w:rPr>
          <w:rFonts w:ascii="FZSSK--GBK1-0" w:hAnsi="FZSSK--GBK1-0" w:cs="FZSSK--GBK1-0" w:eastAsia="FZSSK--GBK1-0"/>
          <w:b w:val="false"/>
          <w:color w:val="000000"/>
          <w:sz w:val="26"/>
          <w:u w:val="none"/>
        </w:rPr>
        <w:t xml:space="preserve"> 地确认“技术人”的理论主张，〔22〕但这类论断大多仅回应了确认人工智能法律主体地位的合理性和</w:t>
      </w:r>
      <w:r>
        <w:rPr>
          <w:rFonts w:ascii="FZSSK--GBK1-0" w:hAnsi="FZSSK--GBK1-0" w:cs="FZSSK--GBK1-0" w:eastAsia="FZSSK--GBK1-0"/>
          <w:b w:val="false"/>
          <w:color w:val="000000"/>
          <w:sz w:val="26"/>
          <w:u w:val="none"/>
        </w:rPr>
        <w:t xml:space="preserve"> 正当性，未能充分解释确认主体地位之后，“技术人”与自然人、法人、非法人组织之间的概念关系以</w:t>
      </w:r>
      <w:r>
        <w:rPr>
          <w:rFonts w:ascii="FZSSK--GBK1-0" w:hAnsi="FZSSK--GBK1-0" w:cs="FZSSK--GBK1-0" w:eastAsia="FZSSK--GBK1-0"/>
          <w:b w:val="false"/>
          <w:color w:val="000000"/>
          <w:sz w:val="26"/>
          <w:u w:val="none"/>
        </w:rPr>
        <w:t xml:space="preserve"> 及对整个法律体系的实际影响。另一类问题则是判断人工智能生成内容是否属于“作品”，这也是数</w:t>
      </w:r>
      <w:r>
        <w:rPr>
          <w:rFonts w:ascii="FZSSK--GBK1-0" w:hAnsi="FZSSK--GBK1-0" w:cs="FZSSK--GBK1-0" w:eastAsia="FZSSK--GBK1-0"/>
          <w:b w:val="false"/>
          <w:color w:val="000000"/>
          <w:sz w:val="26"/>
          <w:u w:val="none"/>
        </w:rPr>
        <w:t xml:space="preserve"> 字法学研究领域颇受关注的热点问题。与固定对话内容的智能客服机器人不同，ChatGPT、Sora等人</w:t>
      </w:r>
      <w:r>
        <w:rPr>
          <w:rFonts w:ascii="FZSSK--GBK1-0" w:hAnsi="FZSSK--GBK1-0" w:cs="FZSSK--GBK1-0" w:eastAsia="FZSSK--GBK1-0"/>
          <w:b w:val="false"/>
          <w:color w:val="000000"/>
          <w:sz w:val="26"/>
          <w:u w:val="none"/>
        </w:rPr>
        <w:t xml:space="preserve"> 工智能产品的生成内容具有高度的仿真性，在海量的网络信息中，一般人难以区分相关信息是否由人</w:t>
      </w:r>
      <w:r>
        <w:rPr>
          <w:rFonts w:ascii="FZSSK--GBK1-0" w:hAnsi="FZSSK--GBK1-0" w:cs="FZSSK--GBK1-0" w:eastAsia="FZSSK--GBK1-0"/>
          <w:b w:val="false"/>
          <w:color w:val="000000"/>
          <w:sz w:val="26"/>
          <w:u w:val="none"/>
        </w:rPr>
        <w:t xml:space="preserve"> 工智能生成。这种智能性是否满足“作品”所具备的独创性特征仍然值得探讨，该问题的回答还会影</w:t>
      </w:r>
      <w:r>
        <w:rPr>
          <w:rFonts w:ascii="FZSSK--GBK1-0" w:hAnsi="FZSSK--GBK1-0" w:cs="FZSSK--GBK1-0" w:eastAsia="FZSSK--GBK1-0"/>
          <w:b w:val="false"/>
          <w:color w:val="000000"/>
          <w:sz w:val="26"/>
          <w:u w:val="none"/>
        </w:rPr>
        <w:t xml:space="preserve"> 响生成内容的著作权归属、生成内容侵权责任的承担等新问题。</w:t>
      </w:r>
    </w:p>
    <w:p>
      <w:pPr>
        <w:spacing w:before="158" w:after="0" w:lineRule="auto"/>
        <w:ind w:firstLineChars="150" w:leftChars="124"/>
        <w:jc w:val="left"/>
      </w:pPr>
      <w:r>
        <w:rPr>
          <w:rFonts w:ascii="FZSSK--GBK1-0" w:hAnsi="FZSSK--GBK1-0" w:cs="FZSSK--GBK1-0" w:eastAsia="FZSSK--GBK1-0"/>
          <w:b w:val="false"/>
          <w:color w:val="000000"/>
          <w:sz w:val="22"/>
          <w:u w:val="none"/>
        </w:rPr>
        <w:t>生成式人工智能的智能化程度早已超出原有的市场预期，但这种技术创新所产生的技术风险也</w:t>
      </w:r>
      <w:r>
        <w:rPr>
          <w:rFonts w:ascii="FZSSK--GBK1-0" w:hAnsi="FZSSK--GBK1-0" w:cs="FZSSK--GBK1-0" w:eastAsia="FZSSK--GBK1-0"/>
          <w:b w:val="false"/>
          <w:color w:val="000000"/>
          <w:sz w:val="22"/>
          <w:u w:val="none"/>
        </w:rPr>
        <w:t xml:space="preserve"> 不能作为法律体系将会受到根本性动摇的实践依据。在区分研究问题的真假、新旧之后，数字法学研</w:t>
      </w:r>
      <w:r>
        <w:rPr>
          <w:rFonts w:ascii="FZSSK--GBK1-0" w:hAnsi="FZSSK--GBK1-0" w:cs="FZSSK--GBK1-0" w:eastAsia="FZSSK--GBK1-0"/>
          <w:b w:val="false"/>
          <w:color w:val="000000"/>
          <w:sz w:val="22"/>
          <w:u w:val="none"/>
        </w:rPr>
        <w:t xml:space="preserve"> 究需要判断“现行立法是否存在解决这些问题的解释空间”：如果具备解释空间，研究路径则转向了</w:t>
      </w:r>
      <w:r>
        <w:rPr>
          <w:rFonts w:ascii="FZSSK--GBK1-0" w:hAnsi="FZSSK--GBK1-0" w:cs="FZSSK--GBK1-0" w:eastAsia="FZSSK--GBK1-0"/>
          <w:b w:val="false"/>
          <w:color w:val="000000"/>
          <w:sz w:val="22"/>
          <w:u w:val="none"/>
        </w:rPr>
        <w:t xml:space="preserve"> 法律解释论；如果不具备解释空间，研究路径则转向了新型权利义务的理论证成和制度建构。不过，</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228600</wp:posOffset>
            </wp:positionH>
            <wp:positionV relativeFrom="paragraph">
              <wp:posOffset>177800</wp:posOffset>
            </wp:positionV>
            <wp:extent cy="25400" cx="1460500"/>
            <wp:effectExtent b="0" r="0" t="0" l="0"/>
            <wp:wrapTopAndBottom/>
            <wp:docPr name="note_line_image17.jpeg" id="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7.jpeg" id="17"/>
                    <pic:cNvPicPr/>
                  </pic:nvPicPr>
                  <pic:blipFill>
                    <a:blip r:embed="rId21"/>
                    <a:stretch>
                      <a:fillRect/>
                    </a:stretch>
                  </pic:blipFill>
                  <pic:spPr>
                    <a:xfrm>
                      <a:off y="0" x="0"/>
                      <a:ext cy="25400" cx="1460500"/>
                    </a:xfrm>
                    <a:prstGeom prst="rect">
                      <a:avLst/>
                    </a:prstGeom>
                  </pic:spPr>
                </pic:pic>
              </a:graphicData>
            </a:graphic>
            <wp14:sizeRelH relativeFrom="margin">
              <wp14:pctWidth>0</wp14:pctWidth>
            </wp14:sizeRelH>
            <wp14:sizeRelV relativeFrom="margin">
              <wp14:pctHeight>0</wp14:pctHeight>
            </wp14:sizeRelV>
          </wp:anchor>
        </w:drawing>
      </w:r>
    </w:p>
    <w:p>
      <w:pPr>
        <w:spacing w:before="282" w:after="9" w:lineRule="auto"/>
        <w:ind w:firstLineChars="88" w:leftChars="138"/>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〔22〕参见俎璐：《人工智能法律拟制主体地位再探——面向拟制哲学视角下的法律主体制度》，载《北京理工大学学报（社会科</w:t>
      </w:r>
      <w:r>
        <w:rPr>
          <w:rFonts w:ascii="FZSSK--GBK1-0" w:hAnsi="FZSSK--GBK1-0" w:cs="FZSSK--GBK1-0" w:eastAsia="FZSSK--GBK1-0"/>
          <w:b w:val="false"/>
          <w:color w:val="231f20"/>
          <w:sz w:val="20"/>
          <w:u w:val="none"/>
        </w:rPr>
        <w:t xml:space="preserve"> 学版）》。</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50800</wp:posOffset>
            </wp:positionH>
            <wp:positionV relativeFrom="paragraph">
              <wp:posOffset>12700</wp:posOffset>
            </wp:positionV>
            <wp:extent cy="12700" cx="1765300"/>
            <wp:effectExtent b="0" r="0" t="0" l="0"/>
            <wp:wrapTopAndBottom/>
            <wp:docPr name="header_line_image5.jpeg" id="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5.jpeg" id="5"/>
                    <pic:cNvPicPr/>
                  </pic:nvPicPr>
                  <pic:blipFill>
                    <a:blip r:embed="rId9"/>
                    <a:stretch>
                      <a:fillRect/>
                    </a:stretch>
                  </pic:blipFill>
                  <pic:spPr>
                    <a:xfrm>
                      <a:off y="0" x="0"/>
                      <a:ext cy="12700" cx="1765300"/>
                    </a:xfrm>
                    <a:prstGeom prst="rect">
                      <a:avLst/>
                    </a:prstGeom>
                  </pic:spPr>
                </pic:pic>
              </a:graphicData>
            </a:graphic>
            <wp14:sizeRelH relativeFrom="margin">
              <wp14:pctWidth>0</wp14:pctWidth>
            </wp14:sizeRelH>
            <wp14:sizeRelV relativeFrom="margin">
              <wp14:pctHeight>0</wp14:pctHeight>
            </wp14:sizeRelV>
          </wp:anchor>
        </w:drawing>
      </w:r>
    </w:p>
    <w:p>
      <w:pPr>
        <w:spacing w:before="308" w:after="0" w:lineRule="auto"/>
        <w:ind w:leftChars="8"/>
        <w:jc w:val="left"/>
      </w:pPr>
      <w:r>
        <w:rPr>
          <w:rFonts w:ascii="FZSSK--GBK1-0" w:hAnsi="FZSSK--GBK1-0" w:cs="FZSSK--GBK1-0" w:eastAsia="FZSSK--GBK1-0"/>
          <w:b w:val="false"/>
          <w:color w:val="000000"/>
          <w:sz w:val="22"/>
          <w:u w:val="none"/>
        </w:rPr>
        <w:t>这种理论证成和制度建构属于对现行法律体系的内容延伸，因为只要置于法学学科的研究框架下，无</w:t>
      </w:r>
      <w:r>
        <w:rPr>
          <w:rFonts w:ascii="FZSSK--GBK1-0" w:hAnsi="FZSSK--GBK1-0" w:cs="FZSSK--GBK1-0" w:eastAsia="FZSSK--GBK1-0"/>
          <w:b w:val="false"/>
          <w:color w:val="000000"/>
          <w:sz w:val="22"/>
          <w:u w:val="none"/>
        </w:rPr>
        <w:t xml:space="preserve"> 论研究客体和研究对象如何扩张，法学学科独立性所依赖的方法论并不会发生根本性变化。</w:t>
      </w:r>
    </w:p>
    <w:p>
      <w:pPr>
        <w:spacing w:before="114" w:after="0" w:lineRule="auto"/>
        <w:ind w:leftChars="156"/>
        <w:jc w:val="left"/>
      </w:pPr>
      <w:r>
        <w:rPr>
          <w:rFonts w:ascii="FZSSK--GBK1-0" w:hAnsi="FZSSK--GBK1-0" w:cs="FZSSK--GBK1-0" w:eastAsia="FZSSK--GBK1-0"/>
          <w:b w:val="false"/>
          <w:color w:val="000000"/>
          <w:sz w:val="22"/>
          <w:u w:val="none"/>
        </w:rPr>
        <w:t>（二）人工智能治理领域的数字法学研究范式</w:t>
      </w:r>
    </w:p>
    <w:p>
      <w:pPr>
        <w:spacing w:before="123" w:after="0" w:lineRule="auto"/>
        <w:ind w:leftChars="168"/>
        <w:jc w:val="left"/>
      </w:pPr>
      <w:r>
        <w:rPr>
          <w:rFonts w:ascii="FZSSK--GBK1-0" w:hAnsi="FZSSK--GBK1-0" w:cs="FZSSK--GBK1-0" w:eastAsia="FZSSK--GBK1-0"/>
          <w:b w:val="false"/>
          <w:color w:val="000000"/>
          <w:sz w:val="26"/>
          <w:u w:val="none"/>
        </w:rPr>
        <w:t>1.数字法学研究路径的新型范式之一：技术要素范式</w:t>
      </w:r>
    </w:p>
    <w:p>
      <w:pPr>
        <w:spacing w:before="106" w:after="0" w:lineRule="auto"/>
        <w:ind w:firstLineChars="147" w:leftChars="14"/>
        <w:jc w:val="left"/>
      </w:pPr>
      <w:r>
        <w:rPr>
          <w:rFonts w:ascii="FZSSK--GBK1-0" w:hAnsi="FZSSK--GBK1-0" w:cs="FZSSK--GBK1-0" w:eastAsia="FZSSK--GBK1-0"/>
          <w:b w:val="false"/>
          <w:color w:val="000000"/>
          <w:sz w:val="28"/>
          <w:u w:val="none"/>
        </w:rPr>
        <w:t>ChatGPT的出现可以说是人工智能法学研究的“转折点”，在此之前的研究成果多是聚焦算法治</w:t>
      </w:r>
      <w:r>
        <w:rPr>
          <w:rFonts w:ascii="FZSSK--GBK1-0" w:hAnsi="FZSSK--GBK1-0" w:cs="FZSSK--GBK1-0" w:eastAsia="FZSSK--GBK1-0"/>
          <w:b w:val="false"/>
          <w:color w:val="000000"/>
          <w:sz w:val="28"/>
          <w:u w:val="none"/>
        </w:rPr>
        <w:t xml:space="preserve"> 理问题和人工智能技术的主体地位论证，但在此之后，数字法学的研究范畴基于技术创新而动态性地</w:t>
      </w:r>
      <w:r>
        <w:rPr>
          <w:rFonts w:ascii="FZSSK--GBK1-0" w:hAnsi="FZSSK--GBK1-0" w:cs="FZSSK--GBK1-0" w:eastAsia="FZSSK--GBK1-0"/>
          <w:b w:val="false"/>
          <w:color w:val="000000"/>
          <w:sz w:val="28"/>
          <w:u w:val="none"/>
        </w:rPr>
        <w:t xml:space="preserve"> 延伸至网络信息内容治理、训练数据合法使用等领域。并且，在大模型人工智能成为技术主流之后，</w:t>
      </w:r>
      <w:r>
        <w:rPr>
          <w:rFonts w:ascii="FZSSK--GBK1-0" w:hAnsi="FZSSK--GBK1-0" w:cs="FZSSK--GBK1-0" w:eastAsia="FZSSK--GBK1-0"/>
          <w:b w:val="false"/>
          <w:color w:val="000000"/>
          <w:sz w:val="28"/>
          <w:u w:val="none"/>
        </w:rPr>
        <w:t>数字法学视角下的人工智能技术治理问题研究进入新的阶段：学者们开始关注和论证“人工智能统一</w:t>
      </w:r>
      <w:r>
        <w:rPr>
          <w:rFonts w:ascii="FZSSK--GBK1-0" w:hAnsi="FZSSK--GBK1-0" w:cs="FZSSK--GBK1-0" w:eastAsia="FZSSK--GBK1-0"/>
          <w:b w:val="false"/>
          <w:color w:val="000000"/>
          <w:sz w:val="28"/>
          <w:u w:val="none"/>
        </w:rPr>
        <w:t xml:space="preserve"> 立法”的可能性，相应的研究路径也从特定应用场景下技术研发者、服务提供者和用户之间的权利义</w:t>
      </w:r>
      <w:r>
        <w:rPr>
          <w:rFonts w:ascii="FZSSK--GBK1-0" w:hAnsi="FZSSK--GBK1-0" w:cs="FZSSK--GBK1-0" w:eastAsia="FZSSK--GBK1-0"/>
          <w:b w:val="false"/>
          <w:color w:val="000000"/>
          <w:sz w:val="28"/>
          <w:u w:val="none"/>
        </w:rPr>
        <w:t xml:space="preserve"> 务内容扩展至人工智能产业的统一性规范内容。在综合治理、体系治理的理念影响下，〔23〕数字法学</w:t>
      </w:r>
      <w:r>
        <w:rPr>
          <w:rFonts w:ascii="FZSSK--GBK1-0" w:hAnsi="FZSSK--GBK1-0" w:cs="FZSSK--GBK1-0" w:eastAsia="FZSSK--GBK1-0"/>
          <w:b w:val="false"/>
          <w:color w:val="000000"/>
          <w:sz w:val="28"/>
          <w:u w:val="none"/>
        </w:rPr>
        <w:t xml:space="preserve"> 的研究范式开始围绕算法、算力和数据三个要素展开人工智能技术的体系化治理研究。这种研究范</w:t>
      </w:r>
      <w:r>
        <w:rPr>
          <w:rFonts w:ascii="FZSSK--GBK1-0" w:hAnsi="FZSSK--GBK1-0" w:cs="FZSSK--GBK1-0" w:eastAsia="FZSSK--GBK1-0"/>
          <w:b w:val="false"/>
          <w:color w:val="000000"/>
          <w:sz w:val="28"/>
          <w:u w:val="none"/>
        </w:rPr>
        <w:t xml:space="preserve"> 式的内在逻辑是根据技术原理层面的影响因素确定相应的具体法律制度，进而解决不同影响因素面</w:t>
      </w:r>
      <w:r>
        <w:rPr>
          <w:rFonts w:ascii="FZSSK--GBK1-0" w:hAnsi="FZSSK--GBK1-0" w:cs="FZSSK--GBK1-0" w:eastAsia="FZSSK--GBK1-0"/>
          <w:b w:val="false"/>
          <w:color w:val="000000"/>
          <w:sz w:val="28"/>
          <w:u w:val="none"/>
        </w:rPr>
        <w:t xml:space="preserve"> 对的制度障碍。</w:t>
      </w:r>
    </w:p>
    <w:p>
      <w:pPr>
        <w:spacing w:before="106" w:after="0" w:lineRule="auto"/>
        <w:ind w:firstLineChars="147" w:leftChars="14"/>
        <w:jc w:val="left"/>
      </w:pPr>
      <w:r>
        <w:rPr>
          <w:rFonts w:ascii="FZSSK--GBK1-0" w:hAnsi="FZSSK--GBK1-0" w:cs="FZSSK--GBK1-0" w:eastAsia="FZSSK--GBK1-0"/>
          <w:b w:val="false"/>
          <w:color w:val="000000"/>
          <w:sz w:val="22"/>
          <w:u w:val="none"/>
        </w:rPr>
        <w:t>在算法层面，算法安全问题的法学研究要早于人工智能技术本身，其应用场景是以自动化决策、</w:t>
      </w:r>
      <w:r>
        <w:rPr>
          <w:rFonts w:ascii="FZSSK--GBK1-0" w:hAnsi="FZSSK--GBK1-0" w:cs="FZSSK--GBK1-0" w:eastAsia="FZSSK--GBK1-0"/>
          <w:b w:val="false"/>
          <w:color w:val="000000"/>
          <w:sz w:val="22"/>
          <w:u w:val="none"/>
        </w:rPr>
        <w:t>用户画像、定向推送等基于算法的信息服务为主。与网络安全问题类似的是，算法安全问题的法学研</w:t>
      </w:r>
      <w:r>
        <w:rPr>
          <w:rFonts w:ascii="FZSSK--GBK1-0" w:hAnsi="FZSSK--GBK1-0" w:cs="FZSSK--GBK1-0" w:eastAsia="FZSSK--GBK1-0"/>
          <w:b w:val="false"/>
          <w:color w:val="000000"/>
          <w:sz w:val="22"/>
          <w:u w:val="none"/>
        </w:rPr>
        <w:t xml:space="preserve"> 究同样存在“从非典型的法学研究内容到前沿法学研究内容”的转变，这也说明了数字法学是一个与</w:t>
      </w:r>
      <w:r>
        <w:rPr>
          <w:rFonts w:ascii="FZSSK--GBK1-0" w:hAnsi="FZSSK--GBK1-0" w:cs="FZSSK--GBK1-0" w:eastAsia="FZSSK--GBK1-0"/>
          <w:b w:val="false"/>
          <w:color w:val="000000"/>
          <w:sz w:val="22"/>
          <w:u w:val="none"/>
        </w:rPr>
        <w:t xml:space="preserve"> 数字社会发展实践保持同步变化的研究模式。并且，基于定向推送等信息服务的算法安全问题主要</w:t>
      </w:r>
      <w:r>
        <w:rPr>
          <w:rFonts w:ascii="FZSSK--GBK1-0" w:hAnsi="FZSSK--GBK1-0" w:cs="FZSSK--GBK1-0" w:eastAsia="FZSSK--GBK1-0"/>
          <w:b w:val="false"/>
          <w:color w:val="000000"/>
          <w:sz w:val="22"/>
          <w:u w:val="none"/>
        </w:rPr>
        <w:t xml:space="preserve"> 是以民事权利保护为研究导向，算法黑箱、算法歧视等现象对个人信息权利、消费者自由选择权等权</w:t>
      </w:r>
      <w:r>
        <w:rPr>
          <w:rFonts w:ascii="FZSSK--GBK1-0" w:hAnsi="FZSSK--GBK1-0" w:cs="FZSSK--GBK1-0" w:eastAsia="FZSSK--GBK1-0"/>
          <w:b w:val="false"/>
          <w:color w:val="000000"/>
          <w:sz w:val="22"/>
          <w:u w:val="none"/>
        </w:rPr>
        <w:t xml:space="preserve"> 益造成实质性损害。在 ChatGPT出现之后，算法安全问题的研究成果也被承继至人工智能治理领域，</w:t>
      </w:r>
      <w:r>
        <w:rPr>
          <w:rFonts w:ascii="FZSSK--GBK1-0" w:hAnsi="FZSSK--GBK1-0" w:cs="FZSSK--GBK1-0" w:eastAsia="FZSSK--GBK1-0"/>
          <w:b w:val="false"/>
          <w:color w:val="000000"/>
          <w:sz w:val="22"/>
          <w:u w:val="none"/>
        </w:rPr>
        <w:t>算法备案、算法透明、算法解释权等理论依然具有可适用性。</w:t>
      </w:r>
    </w:p>
    <w:p>
      <w:pPr>
        <w:spacing w:before="97" w:after="0" w:lineRule="auto"/>
        <w:ind w:firstLineChars="147" w:leftChars="14"/>
        <w:jc w:val="left"/>
      </w:pPr>
      <w:r>
        <w:rPr>
          <w:rFonts w:ascii="FZSSK--GBK1-0" w:hAnsi="FZSSK--GBK1-0" w:cs="FZSSK--GBK1-0" w:eastAsia="FZSSK--GBK1-0"/>
          <w:b w:val="false"/>
          <w:color w:val="000000"/>
          <w:sz w:val="22"/>
          <w:u w:val="none"/>
        </w:rPr>
        <w:t>在算力层面，系统性的理论研究成果相对较少，但已经有部分学者意识到算力资源对人工智能产</w:t>
      </w:r>
      <w:r>
        <w:rPr>
          <w:rFonts w:ascii="FZSSK--GBK1-0" w:hAnsi="FZSSK--GBK1-0" w:cs="FZSSK--GBK1-0" w:eastAsia="FZSSK--GBK1-0"/>
          <w:b w:val="false"/>
          <w:color w:val="000000"/>
          <w:sz w:val="22"/>
          <w:u w:val="none"/>
        </w:rPr>
        <w:t xml:space="preserve"> 业的重要性，进而提出“重点调度规划算力资源”“建立新型数据基础设施”等主张。〔24〕然而，这类</w:t>
      </w:r>
      <w:r>
        <w:rPr>
          <w:rFonts w:ascii="FZSSK--GBK1-0" w:hAnsi="FZSSK--GBK1-0" w:cs="FZSSK--GBK1-0" w:eastAsia="FZSSK--GBK1-0"/>
          <w:b w:val="false"/>
          <w:color w:val="000000"/>
          <w:sz w:val="22"/>
          <w:u w:val="none"/>
        </w:rPr>
        <w:t xml:space="preserve"> 研究结论实际上属于政策性建议，缺乏必要的法学理论予以证成。算力是指计算机在特定时间段内</w:t>
      </w:r>
      <w:r>
        <w:rPr>
          <w:rFonts w:ascii="FZSSK--GBK1-0" w:hAnsi="FZSSK--GBK1-0" w:cs="FZSSK--GBK1-0" w:eastAsia="FZSSK--GBK1-0"/>
          <w:b w:val="false"/>
          <w:color w:val="000000"/>
          <w:sz w:val="22"/>
          <w:u w:val="none"/>
        </w:rPr>
        <w:t xml:space="preserve"> 完成计算任务的能力，其并不直接对自然人存在侵权风险，而是关系到人工智能产业能否高效创新发</w:t>
      </w:r>
      <w:r>
        <w:rPr>
          <w:rFonts w:ascii="FZSSK--GBK1-0" w:hAnsi="FZSSK--GBK1-0" w:cs="FZSSK--GBK1-0" w:eastAsia="FZSSK--GBK1-0"/>
          <w:b w:val="false"/>
          <w:color w:val="000000"/>
          <w:sz w:val="22"/>
          <w:u w:val="none"/>
        </w:rPr>
        <w:t xml:space="preserve"> 展。在以大模型作为人工智能技术发展导向的背景下，需要足够的算力资源支撑大模型优化背后的</w:t>
      </w:r>
      <w:r>
        <w:rPr>
          <w:rFonts w:ascii="FZSSK--GBK1-0" w:hAnsi="FZSSK--GBK1-0" w:cs="FZSSK--GBK1-0" w:eastAsia="FZSSK--GBK1-0"/>
          <w:b w:val="false"/>
          <w:color w:val="000000"/>
          <w:sz w:val="22"/>
          <w:u w:val="none"/>
        </w:rPr>
        <w:t xml:space="preserve"> 海量数据计算。但是，算力资源的产生并不能简单通过频繁新建算力中心的方式实现，因为海量数据</w:t>
      </w:r>
      <w:r>
        <w:rPr>
          <w:rFonts w:ascii="FZSSK--GBK1-0" w:hAnsi="FZSSK--GBK1-0" w:cs="FZSSK--GBK1-0" w:eastAsia="FZSSK--GBK1-0"/>
          <w:b w:val="false"/>
          <w:color w:val="000000"/>
          <w:sz w:val="22"/>
          <w:u w:val="none"/>
        </w:rPr>
        <w:t xml:space="preserve"> 计算会消耗掉庞大的算力资源，无规划地新建算力中心只会导致算力资源分配不平衡、社会总体算力</w:t>
      </w:r>
      <w:r>
        <w:rPr>
          <w:rFonts w:ascii="FZSSK--GBK1-0" w:hAnsi="FZSSK--GBK1-0" w:cs="FZSSK--GBK1-0" w:eastAsia="FZSSK--GBK1-0"/>
          <w:b w:val="false"/>
          <w:color w:val="000000"/>
          <w:sz w:val="22"/>
          <w:u w:val="none"/>
        </w:rPr>
        <w:t xml:space="preserve"> 资源供给体量受限等问题。因此，在数字法学研究视角下，“新建算力基础设施”等理论主张需要转</w:t>
      </w:r>
      <w:r>
        <w:rPr>
          <w:rFonts w:ascii="FZSSK--GBK1-0" w:hAnsi="FZSSK--GBK1-0" w:cs="FZSSK--GBK1-0" w:eastAsia="FZSSK--GBK1-0"/>
          <w:b w:val="false"/>
          <w:color w:val="000000"/>
          <w:sz w:val="22"/>
          <w:u w:val="none"/>
        </w:rPr>
        <w:t xml:space="preserve"> 化为“如何通过法律制度合理调度、分配和供给算力资源”这一法学议题。</w:t>
      </w:r>
    </w:p>
    <w:p>
      <w:pPr>
        <w:spacing w:before="88" w:after="0" w:lineRule="auto"/>
        <w:ind w:firstLineChars="147" w:leftChars="11"/>
        <w:jc w:val="left"/>
      </w:pPr>
      <w:r>
        <w:rPr>
          <w:rFonts w:ascii="FZSSK--GBK1-0" w:hAnsi="FZSSK--GBK1-0" w:cs="FZSSK--GBK1-0" w:eastAsia="FZSSK--GBK1-0"/>
          <w:b w:val="false"/>
          <w:color w:val="000000"/>
          <w:sz w:val="22"/>
          <w:u w:val="none"/>
        </w:rPr>
        <w:t>在训练数据层面，数字法学的研究问题包括“如何通过数据交易、公共数据开放等法律制度提升</w:t>
      </w:r>
      <w:r>
        <w:rPr>
          <w:rFonts w:ascii="FZSSK--GBK1-0" w:hAnsi="FZSSK--GBK1-0" w:cs="FZSSK--GBK1-0" w:eastAsia="FZSSK--GBK1-0"/>
          <w:b w:val="false"/>
          <w:color w:val="000000"/>
          <w:sz w:val="22"/>
          <w:u w:val="none"/>
        </w:rPr>
        <w:t xml:space="preserve"> 高质量训练数据的供给水平”（数据供给）和“训练数据使用行为的合法性边界”（数据合法）。而在</w:t>
      </w:r>
      <w:r>
        <w:rPr>
          <w:rFonts w:ascii="FZSSK--GBK1-0" w:hAnsi="FZSSK--GBK1-0" w:cs="FZSSK--GBK1-0" w:eastAsia="FZSSK--GBK1-0"/>
          <w:b w:val="false"/>
          <w:color w:val="000000"/>
          <w:sz w:val="22"/>
          <w:u w:val="none"/>
        </w:rPr>
        <w:t xml:space="preserve"> 传统法学研究模式下，训练数据的问题则会被限定在训练数据来源合法性的判断，并不会涉及训练数</w:t>
      </w:r>
      <w:r>
        <w:rPr>
          <w:rFonts w:ascii="FZSSK--GBK1-0" w:hAnsi="FZSSK--GBK1-0" w:cs="FZSSK--GBK1-0" w:eastAsia="FZSSK--GBK1-0"/>
          <w:b w:val="false"/>
          <w:color w:val="000000"/>
          <w:sz w:val="22"/>
          <w:u w:val="none"/>
        </w:rPr>
        <w:t xml:space="preserve"> 据的供给问题。因为在体系化治理范式下，对算力、算法和数据相关问题的研究均是为了解决人工智</w:t>
      </w:r>
      <w:r>
        <w:rPr>
          <w:rFonts w:ascii="FZSSK--GBK1-0" w:hAnsi="FZSSK--GBK1-0" w:cs="FZSSK--GBK1-0" w:eastAsia="FZSSK--GBK1-0"/>
          <w:b w:val="false"/>
          <w:color w:val="000000"/>
          <w:sz w:val="22"/>
          <w:u w:val="none"/>
        </w:rPr>
        <w:t xml:space="preserve"> 能技术发展的制度障碍，在具体的研究活动中，这种“解决制度障碍”的研究目标则被分解为训练数</w:t>
      </w:r>
      <w:r>
        <w:rPr>
          <w:rFonts w:ascii="FZSSK--GBK1-0" w:hAnsi="FZSSK--GBK1-0" w:cs="FZSSK--GBK1-0" w:eastAsia="FZSSK--GBK1-0"/>
          <w:b w:val="false"/>
          <w:color w:val="000000"/>
          <w:sz w:val="22"/>
          <w:u w:val="none"/>
        </w:rPr>
        <w:t xml:space="preserve"> 据相关方的权利和义务。数据供给和数据合法两类问题实际上离不开对数据生成者、持有者、加工者</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25400</wp:posOffset>
            </wp:positionH>
            <wp:positionV relativeFrom="paragraph">
              <wp:posOffset>165100</wp:posOffset>
            </wp:positionV>
            <wp:extent cy="25400" cx="1460500"/>
            <wp:effectExtent b="0" r="0" t="0" l="0"/>
            <wp:wrapTopAndBottom/>
            <wp:docPr name="note_line_image17.jpeg" id="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note_line_image17.jpeg" id="17"/>
                    <pic:cNvPicPr/>
                  </pic:nvPicPr>
                  <pic:blipFill>
                    <a:blip r:embed="rId21"/>
                    <a:stretch>
                      <a:fillRect/>
                    </a:stretch>
                  </pic:blipFill>
                  <pic:spPr>
                    <a:xfrm>
                      <a:off y="0" x="0"/>
                      <a:ext cy="25400" cx="1460500"/>
                    </a:xfrm>
                    <a:prstGeom prst="rect">
                      <a:avLst/>
                    </a:prstGeom>
                  </pic:spPr>
                </pic:pic>
              </a:graphicData>
            </a:graphic>
            <wp14:sizeRelH relativeFrom="margin">
              <wp14:pctWidth>0</wp14:pctWidth>
            </wp14:sizeRelH>
            <wp14:sizeRelV relativeFrom="margin">
              <wp14:pctHeight>0</wp14:pctHeight>
            </wp14:sizeRelV>
          </wp:anchor>
        </w:drawing>
      </w:r>
    </w:p>
    <w:p>
      <w:pPr>
        <w:spacing w:before="282" w:after="0" w:lineRule="auto"/>
        <w:ind w:leftChars="127"/>
        <w:jc w:val="left"/>
      </w:pPr>
      <w:r>
        <w:rPr>
          <w:rFonts w:ascii="FZSSK--GBK1-0" w:hAnsi="FZSSK--GBK1-0" w:cs="FZSSK--GBK1-0" w:eastAsia="FZSSK--GBK1-0"/>
          <w:b w:val="false"/>
          <w:color w:val="231f20"/>
          <w:sz w:val="20"/>
          <w:u w:val="none"/>
        </w:rPr>
        <w:t>〔23〕参见赵精武：《论人工智能法的多维规制体系》，载《法学论坛》2024年第 3期，第 66页。</w:t>
      </w:r>
    </w:p>
    <w:p>
      <w:pPr>
        <w:spacing w:before="62" w:after="9" w:lineRule="auto"/>
        <w:ind w:leftChars="121"/>
        <w:jc w:val="left"/>
        <w:sectPr>
          <w:type w:val="continuous"/>
          <w:pgSz w:h="16840" w:w="11900"/>
          <w:pgMar w:left="1324" w:right="1349" w:top="1637" w:bottom="1707" w:header="720" w:footer="720"/>
        </w:sectPr>
      </w:pPr>
      <w:r>
        <w:rPr>
          <w:rFonts w:ascii="FZSSK--GBK1-0" w:hAnsi="FZSSK--GBK1-0" w:cs="FZSSK--GBK1-0" w:eastAsia="FZSSK--GBK1-0"/>
          <w:b w:val="false"/>
          <w:color w:val="231f20"/>
          <w:sz w:val="20"/>
          <w:u w:val="none"/>
        </w:rPr>
        <w:t>〔24〕参见袁曾：《生成式人工智能治理的法律回应》，载《上海大学学报（社会科学版）》2024第 1期，第 34页。</w:t>
      </w:r>
    </w:p>
    <w:p>
      <w:r>
        <w:drawing>
          <wp:anchor xmlns:wp="http://schemas.openxmlformats.org/drawingml/2006/wordprocessingDrawing" xmlns:wp14="http://schemas.microsoft.com/office/word/2010/wordprocessingDrawing" allowOverlap="0" layoutInCell="1" locked="0" behindDoc="0" relativeHeight="0" simplePos="0" distR="0" distL="0" distB="0" distT="0">
            <wp:simplePos y="0" x="0"/>
            <wp:positionH relativeFrom="margin">
              <wp:posOffset>3835400</wp:posOffset>
            </wp:positionH>
            <wp:positionV relativeFrom="paragraph">
              <wp:posOffset>0</wp:posOffset>
            </wp:positionV>
            <wp:extent cy="25400" cx="1955800"/>
            <wp:effectExtent b="0" r="0" t="0" l="0"/>
            <wp:wrapTopAndBottom/>
            <wp:docPr name="header_line_image18.jpeg" id="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name="header_line_image18.jpeg" id="18"/>
                    <pic:cNvPicPr/>
                  </pic:nvPicPr>
                  <pic:blipFill>
                    <a:blip r:embed="rId22"/>
                    <a:stretch>
                      <a:fillRect/>
                    </a:stretch>
                  </pic:blipFill>
                  <pic:spPr>
                    <a:xfrm>
                      <a:off y="0" x="0"/>
                      <a:ext cy="25400" cx="1955800"/>
                    </a:xfrm>
                    <a:prstGeom prst="rect">
                      <a:avLst/>
                    </a:prstGeom>
                  </pic:spPr>
                </pic:pic>
              </a:graphicData>
            </a:graphic>
            <wp14:sizeRelH relativeFrom="margin">
              <wp14:pctWidth>0</wp14:pctWidth>
            </wp14:sizeRelH>
            <wp14:sizeRelV relativeFrom="margin">
              <wp14:pctHeight>0</wp14:pctHeight>
            </wp14:sizeRelV>
          </wp:anchor>
        </w:drawing>
      </w:r>
    </w:p>
    <w:p>
      <w:pPr>
        <w:spacing w:before="317" w:after="0" w:lineRule="auto"/>
        <w:ind w:leftChars="130"/>
        <w:jc w:val="left"/>
      </w:pPr>
      <w:r>
        <w:rPr>
          <w:rFonts w:ascii="FZSSK--GBK1-0" w:hAnsi="FZSSK--GBK1-0" w:cs="FZSSK--GBK1-0" w:eastAsia="FZSSK--GBK1-0"/>
          <w:b w:val="false"/>
          <w:color w:val="000000"/>
          <w:sz w:val="22"/>
          <w:u w:val="none"/>
        </w:rPr>
        <w:t>等各类法律主体的利益平衡，并且，这两类问题与一般的数据安全问题相比，前者更加侧重数据的可</w:t>
      </w:r>
      <w:r>
        <w:rPr>
          <w:rFonts w:ascii="FZSSK--GBK1-0" w:hAnsi="FZSSK--GBK1-0" w:cs="FZSSK--GBK1-0" w:eastAsia="FZSSK--GBK1-0"/>
          <w:b w:val="false"/>
          <w:color w:val="000000"/>
          <w:sz w:val="22"/>
          <w:u w:val="none"/>
        </w:rPr>
        <w:t xml:space="preserve"> 用性和可靠性，问题的解决方式除了确保训练数据按照约定目的使用和避免数据泄露、毁损之外，还</w:t>
      </w:r>
      <w:r>
        <w:rPr>
          <w:rFonts w:ascii="FZSSK--GBK1-0" w:hAnsi="FZSSK--GBK1-0" w:cs="FZSSK--GBK1-0" w:eastAsia="FZSSK--GBK1-0"/>
          <w:b w:val="false"/>
          <w:color w:val="000000"/>
          <w:sz w:val="22"/>
          <w:u w:val="none"/>
        </w:rPr>
        <w:t xml:space="preserve"> 包括建构训练数据使用收益的分配机制，化解不同主体之间的权益冲突。</w:t>
      </w:r>
    </w:p>
    <w:p>
      <w:pPr>
        <w:spacing w:before="106" w:after="0" w:lineRule="auto"/>
        <w:ind w:leftChars="274"/>
        <w:jc w:val="left"/>
      </w:pPr>
      <w:r>
        <w:rPr>
          <w:rFonts w:ascii="FZSSK--GBK1-0" w:hAnsi="FZSSK--GBK1-0" w:cs="FZSSK--GBK1-0" w:eastAsia="FZSSK--GBK1-0"/>
          <w:b w:val="false"/>
          <w:color w:val="000000"/>
          <w:sz w:val="26"/>
          <w:u w:val="none"/>
        </w:rPr>
        <w:t>2.数字法学研究路径的新型范式之二：科技伦理的法治化</w:t>
      </w:r>
    </w:p>
    <w:p>
      <w:pPr>
        <w:spacing w:before="141" w:after="0" w:lineRule="auto"/>
        <w:ind w:firstLineChars="150" w:leftChars="133"/>
        <w:jc w:val="left"/>
      </w:pPr>
      <w:r>
        <w:rPr>
          <w:rFonts w:ascii="FZSSK--GBK1-0" w:hAnsi="FZSSK--GBK1-0" w:cs="FZSSK--GBK1-0" w:eastAsia="FZSSK--GBK1-0"/>
          <w:b w:val="false"/>
          <w:color w:val="000000"/>
          <w:sz w:val="22"/>
          <w:u w:val="none"/>
        </w:rPr>
        <w:t>人工智能相关的法学问题随着人工智能技术创新而快速变化，为了更有效地缩短技术创新与法</w:t>
      </w:r>
      <w:r>
        <w:rPr>
          <w:rFonts w:ascii="FZSSK--GBK1-0" w:hAnsi="FZSSK--GBK1-0" w:cs="FZSSK--GBK1-0" w:eastAsia="FZSSK--GBK1-0"/>
          <w:b w:val="false"/>
          <w:color w:val="000000"/>
          <w:sz w:val="22"/>
          <w:u w:val="none"/>
        </w:rPr>
        <w:t xml:space="preserve"> 律更新之间的差距，数字法学研究开始形成包括法律、伦理、市场和技术标准等治理工具的融合治理</w:t>
      </w:r>
      <w:r>
        <w:rPr>
          <w:rFonts w:ascii="FZSSK--GBK1-0" w:hAnsi="FZSSK--GBK1-0" w:cs="FZSSK--GBK1-0" w:eastAsia="FZSSK--GBK1-0"/>
          <w:b w:val="false"/>
          <w:color w:val="000000"/>
          <w:sz w:val="22"/>
          <w:u w:val="none"/>
        </w:rPr>
        <w:t xml:space="preserve"> 范式。在以往的法学研究活动中，伦理道德层面的研究范式往往被用于解决深层次的法律价值平衡</w:t>
      </w:r>
      <w:r>
        <w:rPr>
          <w:rFonts w:ascii="FZSSK--GBK1-0" w:hAnsi="FZSSK--GBK1-0" w:cs="FZSSK--GBK1-0" w:eastAsia="FZSSK--GBK1-0"/>
          <w:b w:val="false"/>
          <w:color w:val="000000"/>
          <w:sz w:val="22"/>
          <w:u w:val="none"/>
        </w:rPr>
        <w:t xml:space="preserve"> 和优先顺位的判断问题。但是，人工智能技术产生的新兴法律问题并不能完全通过即时性的立法活</w:t>
      </w:r>
      <w:r>
        <w:rPr>
          <w:rFonts w:ascii="FZSSK--GBK1-0" w:hAnsi="FZSSK--GBK1-0" w:cs="FZSSK--GBK1-0" w:eastAsia="FZSSK--GBK1-0"/>
          <w:b w:val="false"/>
          <w:color w:val="000000"/>
          <w:sz w:val="22"/>
          <w:u w:val="none"/>
        </w:rPr>
        <w:t xml:space="preserve"> 动或者法律解释解决。加之未来人工智能技术的创新周期和发展方向难以被完全清晰地确定，为了</w:t>
      </w:r>
      <w:r>
        <w:rPr>
          <w:rFonts w:ascii="FZSSK--GBK1-0" w:hAnsi="FZSSK--GBK1-0" w:cs="FZSSK--GBK1-0" w:eastAsia="FZSSK--GBK1-0"/>
          <w:b w:val="false"/>
          <w:color w:val="000000"/>
          <w:sz w:val="22"/>
          <w:u w:val="none"/>
        </w:rPr>
        <w:t xml:space="preserve"> 避免频繁出现法律与技术实践的脱节，科技伦理审查开始成为数字法学的新型研究范式。在之前的</w:t>
      </w:r>
      <w:r>
        <w:rPr>
          <w:rFonts w:ascii="FZSSK--GBK1-0" w:hAnsi="FZSSK--GBK1-0" w:cs="FZSSK--GBK1-0" w:eastAsia="FZSSK--GBK1-0"/>
          <w:b w:val="false"/>
          <w:color w:val="000000"/>
          <w:sz w:val="22"/>
          <w:u w:val="none"/>
        </w:rPr>
        <w:t xml:space="preserve"> 算法问题研究中，算法不公等问题已经受到学者们的关注。该类问题在权利层面构成了对人格尊严</w:t>
      </w:r>
      <w:r>
        <w:rPr>
          <w:rFonts w:ascii="FZSSK--GBK1-0" w:hAnsi="FZSSK--GBK1-0" w:cs="FZSSK--GBK1-0" w:eastAsia="FZSSK--GBK1-0"/>
          <w:b w:val="false"/>
          <w:color w:val="000000"/>
          <w:sz w:val="22"/>
          <w:u w:val="none"/>
        </w:rPr>
        <w:t xml:space="preserve"> 在内的人格权益侵害，在法律制度架构层面，则存在法律主体客体化、法律客体主体化的风险，亦即自</w:t>
      </w:r>
      <w:r>
        <w:rPr>
          <w:rFonts w:ascii="FZSSK--GBK1-0" w:hAnsi="FZSSK--GBK1-0" w:cs="FZSSK--GBK1-0" w:eastAsia="FZSSK--GBK1-0"/>
          <w:b w:val="false"/>
          <w:color w:val="000000"/>
          <w:sz w:val="22"/>
          <w:u w:val="none"/>
        </w:rPr>
        <w:t xml:space="preserve"> 然人被置于算法决策的“管理空间”，原本作为法律主体的自然人却成为算法的规训对象。在现阶段，</w:t>
      </w:r>
      <w:r>
        <w:rPr>
          <w:rFonts w:ascii="FZSSK--GBK1-0" w:hAnsi="FZSSK--GBK1-0" w:cs="FZSSK--GBK1-0" w:eastAsia="FZSSK--GBK1-0"/>
          <w:b w:val="false"/>
          <w:color w:val="000000"/>
          <w:sz w:val="22"/>
          <w:u w:val="none"/>
        </w:rPr>
        <w:t>科技伦理审查制度的引入能够有效预防立法者短期内难以预见的技术滥用风险。并且，审查标准也</w:t>
      </w:r>
      <w:r>
        <w:rPr>
          <w:rFonts w:ascii="FZSSK--GBK1-0" w:hAnsi="FZSSK--GBK1-0" w:cs="FZSSK--GBK1-0" w:eastAsia="FZSSK--GBK1-0"/>
          <w:b w:val="false"/>
          <w:color w:val="000000"/>
          <w:sz w:val="22"/>
          <w:u w:val="none"/>
        </w:rPr>
        <w:t xml:space="preserve"> 是以社会共识性的科技伦理和法律基本原则为主，未来的技术创新并不会使得这些审查标准丧失可</w:t>
      </w:r>
      <w:r>
        <w:rPr>
          <w:rFonts w:ascii="FZSSK--GBK1-0" w:hAnsi="FZSSK--GBK1-0" w:cs="FZSSK--GBK1-0" w:eastAsia="FZSSK--GBK1-0"/>
          <w:b w:val="false"/>
          <w:color w:val="000000"/>
          <w:sz w:val="22"/>
          <w:u w:val="none"/>
        </w:rPr>
        <w:t xml:space="preserve"> 适用性。结合现行的《科技伦理审查办法（试行）》第 15条来看，涉及数据和算法的科技活动属于应</w:t>
      </w:r>
      <w:r>
        <w:rPr>
          <w:rFonts w:ascii="FZSSK--GBK1-0" w:hAnsi="FZSSK--GBK1-0" w:cs="FZSSK--GBK1-0" w:eastAsia="FZSSK--GBK1-0"/>
          <w:b w:val="false"/>
          <w:color w:val="000000"/>
          <w:sz w:val="22"/>
          <w:u w:val="none"/>
        </w:rPr>
        <w:t xml:space="preserve"> 当重点审查的内容。相应的审查标准既需要满足公平、公正、透明、可靠、可控等伦理要求，也需要满</w:t>
      </w:r>
      <w:r>
        <w:rPr>
          <w:rFonts w:ascii="FZSSK--GBK1-0" w:hAnsi="FZSSK--GBK1-0" w:cs="FZSSK--GBK1-0" w:eastAsia="FZSSK--GBK1-0"/>
          <w:b w:val="false"/>
          <w:color w:val="000000"/>
          <w:sz w:val="22"/>
          <w:u w:val="none"/>
        </w:rPr>
        <w:t xml:space="preserve"> 足数据安全、个人信息等法律规定。科技伦理审查机制通过多元化的审查标准实现了法律风险、伦理</w:t>
      </w:r>
      <w:r>
        <w:rPr>
          <w:rFonts w:ascii="FZSSK--GBK1-0" w:hAnsi="FZSSK--GBK1-0" w:cs="FZSSK--GBK1-0" w:eastAsia="FZSSK--GBK1-0"/>
          <w:b w:val="false"/>
          <w:color w:val="000000"/>
          <w:sz w:val="22"/>
          <w:u w:val="none"/>
        </w:rPr>
        <w:t xml:space="preserve"> 风险以及技术安全风险融合性治理。</w:t>
      </w:r>
    </w:p>
    <w:p>
      <w:pPr>
        <w:spacing w:before="484" w:after="0" w:lineRule="auto"/>
        <w:jc w:val="center"/>
      </w:pPr>
      <w:r>
        <w:rPr>
          <w:rFonts w:ascii="FZSSK--GBK1-0" w:hAnsi="FZSSK--GBK1-0" w:cs="FZSSK--GBK1-0" w:eastAsia="FZSSK--GBK1-0"/>
          <w:b w:val="false"/>
          <w:color w:val="000000"/>
          <w:sz w:val="30"/>
          <w:u w:val="none"/>
        </w:rPr>
        <w:t>六、结语</w:t>
      </w:r>
    </w:p>
    <w:p>
      <w:pPr>
        <w:spacing w:before="405" w:after="0" w:lineRule="auto"/>
        <w:ind w:firstLineChars="150" w:leftChars="127"/>
        <w:jc w:val="left"/>
      </w:pPr>
      <w:r>
        <w:rPr>
          <w:rFonts w:ascii="FZSSK--GBK1-0" w:hAnsi="FZSSK--GBK1-0" w:cs="FZSSK--GBK1-0" w:eastAsia="FZSSK--GBK1-0"/>
          <w:b w:val="false"/>
          <w:color w:val="000000"/>
          <w:sz w:val="22"/>
          <w:u w:val="none"/>
        </w:rPr>
        <w:t>数字法学是现代法学研究在数字社会所呈现的新型研究模式和研究形态，其中“数字”的内涵不</w:t>
      </w:r>
      <w:r>
        <w:rPr>
          <w:rFonts w:ascii="FZSSK--GBK1-0" w:hAnsi="FZSSK--GBK1-0" w:cs="FZSSK--GBK1-0" w:eastAsia="FZSSK--GBK1-0"/>
          <w:b w:val="false"/>
          <w:color w:val="000000"/>
          <w:sz w:val="22"/>
          <w:u w:val="none"/>
        </w:rPr>
        <w:t xml:space="preserve"> 单纯是指数字技术、数字社会，还指向法学研究路径的创新性变化。数字法学概念和定位的厘清直接</w:t>
      </w:r>
      <w:r>
        <w:rPr>
          <w:rFonts w:ascii="FZSSK--GBK1-0" w:hAnsi="FZSSK--GBK1-0" w:cs="FZSSK--GBK1-0" w:eastAsia="FZSSK--GBK1-0"/>
          <w:b w:val="false"/>
          <w:color w:val="000000"/>
          <w:sz w:val="22"/>
          <w:u w:val="none"/>
        </w:rPr>
        <w:t xml:space="preserve"> 关系到能否在数字技术创新的当下准确判断和发现法学研究应当真正关注的法律问题。数字法学在</w:t>
      </w:r>
      <w:r>
        <w:rPr>
          <w:rFonts w:ascii="FZSSK--GBK1-0" w:hAnsi="FZSSK--GBK1-0" w:cs="FZSSK--GBK1-0" w:eastAsia="FZSSK--GBK1-0"/>
          <w:b w:val="false"/>
          <w:color w:val="000000"/>
          <w:sz w:val="22"/>
          <w:u w:val="none"/>
        </w:rPr>
        <w:t xml:space="preserve"> 概念层面的不确定性不代表自身仅仅只是“数字+技术”的称谓组合，而应当与研究范畴和研究范式</w:t>
      </w:r>
      <w:r>
        <w:rPr>
          <w:rFonts w:ascii="FZSSK--GBK1-0" w:hAnsi="FZSSK--GBK1-0" w:cs="FZSSK--GBK1-0" w:eastAsia="FZSSK--GBK1-0"/>
          <w:b w:val="false"/>
          <w:color w:val="000000"/>
          <w:sz w:val="22"/>
          <w:u w:val="none"/>
        </w:rPr>
        <w:t xml:space="preserve"> 具有开放性和动态性的特征相关联。数字法学的研究模式始终处于一个持续发展的状态，正如原本</w:t>
      </w:r>
      <w:r>
        <w:rPr>
          <w:rFonts w:ascii="FZSSK--GBK1-0" w:hAnsi="FZSSK--GBK1-0" w:cs="FZSSK--GBK1-0" w:eastAsia="FZSSK--GBK1-0"/>
          <w:b w:val="false"/>
          <w:color w:val="000000"/>
          <w:sz w:val="22"/>
          <w:u w:val="none"/>
        </w:rPr>
        <w:t xml:space="preserve"> 被视为非法学的研究客体的网络安全、数据安全、算法安全等成为现代法学主流研究客体的演进过</w:t>
      </w:r>
      <w:r>
        <w:rPr>
          <w:rFonts w:ascii="FZSSK--GBK1-0" w:hAnsi="FZSSK--GBK1-0" w:cs="FZSSK--GBK1-0" w:eastAsia="FZSSK--GBK1-0"/>
          <w:b w:val="false"/>
          <w:color w:val="000000"/>
          <w:sz w:val="22"/>
          <w:u w:val="none"/>
        </w:rPr>
        <w:t xml:space="preserve"> 程，数字法学本身也在经历从研究模式不成熟到研究范式体系化的转变过程。在数字法学的发展过</w:t>
      </w:r>
      <w:r>
        <w:rPr>
          <w:rFonts w:ascii="FZSSK--GBK1-0" w:hAnsi="FZSSK--GBK1-0" w:cs="FZSSK--GBK1-0" w:eastAsia="FZSSK--GBK1-0"/>
          <w:b w:val="false"/>
          <w:color w:val="000000"/>
          <w:sz w:val="22"/>
          <w:u w:val="none"/>
        </w:rPr>
        <w:t xml:space="preserve"> 程中，应立足于法律关系的具体内容，筛除以技术风险为名的假问题，拓展法学研究范式的多元性，探</w:t>
      </w:r>
      <w:r>
        <w:rPr>
          <w:rFonts w:ascii="FZSSK--GBK1-0" w:hAnsi="FZSSK--GBK1-0" w:cs="FZSSK--GBK1-0" w:eastAsia="FZSSK--GBK1-0"/>
          <w:b w:val="false"/>
          <w:color w:val="000000"/>
          <w:sz w:val="22"/>
          <w:u w:val="none"/>
        </w:rPr>
        <w:t xml:space="preserve"> 索更符合数字社会治理需求的数字法学研究体系。</w:t>
      </w:r>
    </w:p>
    <w:p>
      <w:pPr>
        <w:spacing w:before="114" w:after="2130" w:lineRule="auto"/>
        <w:jc w:val="right"/>
        <w:sectPr>
          <w:type w:val="continuous"/>
          <w:pgSz w:h="16840" w:w="11900"/>
          <w:pgMar w:left="1324" w:right="1349" w:top="1637" w:bottom="1707" w:header="720" w:footer="720"/>
        </w:sectPr>
      </w:pPr>
      <w:r>
        <w:rPr>
          <w:rFonts w:ascii="FZFSK--GBK1-0" w:hAnsi="FZFSK--GBK1-0" w:cs="FZFSK--GBK1-0" w:eastAsia="FZFSK--GBK1-0"/>
          <w:b w:val="false"/>
          <w:color w:val="000000"/>
          <w:sz w:val="22"/>
          <w:u w:val="none"/>
        </w:rPr>
        <w:t>（责任编辑：马长山）</w:t>
      </w:r>
    </w:p>
    <w:sectPr>
      <w:headerReference w:type="default" r:id="rId3"/>
      <w:headerReference w:type="even" r:id="rId4"/>
    </w:sectPr>
  </w:body>
</w:document>
</file>

<file path=word/header1.xml><?xml version="1.0" encoding="utf-8"?>
<w:hdr xmlns:w="http://schemas.openxmlformats.org/wordprocessingml/2006/main">
  <w:p>
    <w:pPr>
      <w:jc w:val="right"/>
    </w:pPr>
    <w:r>
      <w:t xml:space="preserve">赵精武论数字法学的概念与研究定位 </w:t>
    </w:r>
  </w:p>
</w:hdr>
</file>

<file path=word/header2.xml><?xml version="1.0" encoding="utf-8"?>
<w:hdr xmlns:w="http://schemas.openxmlformats.org/wordprocessingml/2006/main">
  <w:p>
    <w:pPr>
      <w:jc w:val="left"/>
    </w:pPr>
    <w:r>
      <w:t xml:space="preserve">华东政法大学学报　2024年第 4期 </w:t>
    </w:r>
  </w:p>
</w:hdr>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6.jpeg" Type="http://schemas.openxmlformats.org/officeDocument/2006/relationships/image"/><Relationship Id="rId11" Target="media/image7.jpeg" Type="http://schemas.openxmlformats.org/officeDocument/2006/relationships/image"/><Relationship Id="rId12" Target="media/image8.jpeg" Type="http://schemas.openxmlformats.org/officeDocument/2006/relationships/image"/><Relationship Id="rId13" Target="media/image9.jpeg" Type="http://schemas.openxmlformats.org/officeDocument/2006/relationships/image"/><Relationship Id="rId14" Target="media/image10.jpeg" Type="http://schemas.openxmlformats.org/officeDocument/2006/relationships/image"/><Relationship Id="rId15" Target="media/image11.jpeg" Type="http://schemas.openxmlformats.org/officeDocument/2006/relationships/image"/><Relationship Id="rId16" Target="media/image12.jpeg" Type="http://schemas.openxmlformats.org/officeDocument/2006/relationships/image"/><Relationship Id="rId17" Target="media/image13.jpeg" Type="http://schemas.openxmlformats.org/officeDocument/2006/relationships/image"/><Relationship Id="rId18" Target="media/image14.jpeg" Type="http://schemas.openxmlformats.org/officeDocument/2006/relationships/image"/><Relationship Id="rId19" Target="media/image15.jpeg" Type="http://schemas.openxmlformats.org/officeDocument/2006/relationships/image"/><Relationship Id="rId2" Target="styles.xml" Type="http://schemas.openxmlformats.org/officeDocument/2006/relationships/styles"/><Relationship Id="rId20" Target="media/image16.jpeg" Type="http://schemas.openxmlformats.org/officeDocument/2006/relationships/image"/><Relationship Id="rId21" Target="media/image17.jpeg" Type="http://schemas.openxmlformats.org/officeDocument/2006/relationships/image"/><Relationship Id="rId22" Target="media/image18.jpeg" Type="http://schemas.openxmlformats.org/officeDocument/2006/relationships/image"/><Relationship Id="rId3" Target="header1.xml" Type="http://schemas.openxmlformats.org/officeDocument/2006/relationships/header"/><Relationship Id="rId4" Target="header2.xml" Type="http://schemas.openxmlformats.org/officeDocument/2006/relationships/header"/><Relationship Id="rId5" Target="media/image1.jpe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media/image4.jpeg" Type="http://schemas.openxmlformats.org/officeDocument/2006/relationships/image"/><Relationship Id="rId9"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2024-08-22T06:39:47Z</dcterms:created>
  <dc:creator>Apache POI</dc:creator>
</cp:coreProperties>
</file>