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81DC3">
      <w:pPr>
        <w:pStyle w:val="3"/>
      </w:pPr>
      <w:r>
        <w:rPr>
          <w:rFonts w:ascii="Times New Roman" w:hAnsi="Times New Roman" w:eastAsia="黑体" w:cs="Times New Roman"/>
          <w:i w:val="0"/>
          <w:color w:val="000000"/>
        </w:rPr>
        <w:t>摘要</w:t>
      </w:r>
    </w:p>
    <w:p w14:paraId="71299453">
      <w:r>
        <w:rPr>
          <w:rFonts w:ascii="Times New Roman" w:hAnsi="Times New Roman" w:eastAsia="宋体" w:cs="Times New Roman"/>
          <w:color w:val="000000"/>
        </w:rPr>
        <w:t>本研究旨在探讨折扣零售情境下，品牌定位如何通过情绪价值影响消费者质量感知，并考察产品定价在此过程中的调节作用。核心研究问题是揭示品牌形象、情绪价值、产品质量感知与产品定价之间的复杂作用机制。</w:t>
      </w:r>
    </w:p>
    <w:p w14:paraId="627EF3EA">
      <w:r>
        <w:rPr>
          <w:rFonts w:ascii="Times New Roman" w:hAnsi="Times New Roman" w:eastAsia="宋体" w:cs="Times New Roman"/>
          <w:color w:val="000000"/>
        </w:rPr>
        <w:t>通过对53名消费者进行问卷调查，并采用分层回归分析与有调节的中介效应</w:t>
      </w:r>
      <w:bookmarkStart w:id="0" w:name="_GoBack"/>
      <w:bookmarkEnd w:id="0"/>
      <w:r>
        <w:rPr>
          <w:rFonts w:ascii="Times New Roman" w:hAnsi="Times New Roman" w:eastAsia="宋体" w:cs="Times New Roman"/>
          <w:color w:val="000000"/>
        </w:rPr>
        <w:t>模型对数据进行分析。</w:t>
      </w:r>
    </w:p>
    <w:p w14:paraId="358447E5">
      <w:r>
        <w:rPr>
          <w:rFonts w:ascii="Times New Roman" w:hAnsi="Times New Roman" w:eastAsia="宋体" w:cs="Times New Roman"/>
          <w:color w:val="000000"/>
        </w:rPr>
        <w:t>研究发现，品牌形象不仅直接正向影响消费者感知的产品质量（β = 0.578, p &lt; .001），还通过情绪价值产生间接影响。品牌形象显著正向预测情绪价值（β = 0.762, p &lt; .001），而情绪价值进一步正向影响产品质量感知（β = 0.337, p &lt; .01），支持了情绪价值的中介作用。产品定价不仅直接正向影响情绪价值（β = 0.364, p &lt; .01），还显著调节品牌形象对情绪价值的影响（交互项β = 0.320, p &lt; .001），表明在高定价感知下，品牌形象对情绪价值的提升作用更强，从而形成了一个有调节的中介模型。</w:t>
      </w:r>
    </w:p>
    <w:p w14:paraId="15EDD178">
      <w:r>
        <w:rPr>
          <w:rFonts w:ascii="Times New Roman" w:hAnsi="Times New Roman" w:eastAsia="宋体" w:cs="Times New Roman"/>
          <w:color w:val="000000"/>
        </w:rPr>
        <w:t>本研究通过整合认知与情感路径，深化了对折扣零售商品牌资产形成机制的理解，证实了“优质低价”定位中情感体验的关键桥梁作用。实践上，为奥乐齐等零售商在维持价格优势的同时，通过塑造鲜明的品牌形象与情感联结来提升质量感知提供了具体策略。</w:t>
      </w:r>
    </w:p>
    <w:p w14:paraId="4BCEBB24">
      <w:pPr>
        <w:ind w:left="0" w:firstLine="0"/>
        <w:jc w:val="left"/>
      </w:pPr>
      <w:r>
        <w:rPr>
          <w:rFonts w:ascii="Times New Roman" w:hAnsi="Times New Roman" w:eastAsia="宋体" w:cs="Times New Roman"/>
          <w:color w:val="000000"/>
        </w:rPr>
        <w:t>关键词： 品牌形象；情绪价值；产品质量感知；产品定价；有调节的中介模型</w:t>
      </w:r>
    </w:p>
    <w:p w14:paraId="694B5A5D">
      <w:pPr>
        <w:pStyle w:val="3"/>
      </w:pPr>
      <w:r>
        <w:rPr>
          <w:rFonts w:ascii="Times New Roman" w:hAnsi="Times New Roman" w:eastAsia="黑体" w:cs="Times New Roman"/>
          <w:i w:val="0"/>
          <w:color w:val="000000"/>
        </w:rPr>
        <w:t>Abstract</w:t>
      </w:r>
    </w:p>
    <w:p w14:paraId="58F426B3">
      <w:r>
        <w:rPr>
          <w:rFonts w:ascii="Times New Roman" w:hAnsi="Times New Roman" w:eastAsia="宋体" w:cs="Times New Roman"/>
          <w:color w:val="000000"/>
        </w:rPr>
        <w:t>(TODO: English abstract placeholder)</w:t>
      </w:r>
    </w:p>
    <w:p w14:paraId="3EB65016">
      <w:pPr>
        <w:ind w:left="0" w:firstLine="0"/>
        <w:jc w:val="left"/>
      </w:pPr>
      <w:r>
        <w:rPr>
          <w:rFonts w:ascii="Times New Roman" w:hAnsi="Times New Roman" w:eastAsia="宋体" w:cs="Times New Roman"/>
          <w:color w:val="000000"/>
        </w:rPr>
        <w:t>Keywords:</w:t>
      </w:r>
    </w:p>
    <w:p w14:paraId="14B03866">
      <w:pPr>
        <w:pStyle w:val="3"/>
      </w:pPr>
      <w:r>
        <w:rPr>
          <w:rFonts w:ascii="Times New Roman" w:hAnsi="Times New Roman" w:eastAsia="黑体" w:cs="Times New Roman"/>
          <w:i w:val="0"/>
          <w:color w:val="000000"/>
        </w:rPr>
        <w:t>第一章 绪论</w:t>
      </w:r>
    </w:p>
    <w:p w14:paraId="3E1E9A5F">
      <w:r>
        <w:rPr>
          <w:rFonts w:ascii="Times New Roman" w:hAnsi="Times New Roman" w:eastAsia="宋体" w:cs="Times New Roman"/>
          <w:color w:val="000000"/>
        </w:rPr>
        <w:t>以奥乐齐（Aldi）和历德（Lidl）为代表的硬折扣零售模式正以前所未有的速度在全球扩张，对传统超市的生存空间构成了严峻挑战 (Steenkamp et al., 2018)。在竞争白热化与消费者预算普遍紧缩的背景下，理解折扣零售商如何有效吸引并维系顾客，已成为关乎企业存续与增长的核心管理议题。然而，折扣零售商普遍面临一个根本性挑战：其赖以生存的“低价”核心定位，常常与“低质”的品牌形象污名化紧密相连 (Wood et al., 2006)。这种根深蒂固的负面认知，与消费者实际追求高性价比的理性需求之间，构成了品牌管理的核心张力。</w:t>
      </w:r>
    </w:p>
    <w:p w14:paraId="3DAB52D2">
      <w:r>
        <w:rPr>
          <w:rFonts w:ascii="Times New Roman" w:hAnsi="Times New Roman" w:eastAsia="宋体" w:cs="Times New Roman"/>
          <w:color w:val="000000"/>
        </w:rPr>
        <w:t>主流品牌管理理论普遍认为，积极的品牌形象能够直接提升消费者对产品质量的感知 (Dodds et al., 1991; Rao et al., 1989)。然而，在折扣零售情境下，这种直接关系变得复杂且充满矛盾，因为零售商传递的“低价”核心信号可能强烈干扰消费者形成“高质”的认知 (DelVecchio et al., 2012; Zheng et al., 2022)。若此矛盾不被解决，品牌形象理论在折扣零售领域将持续面临解释力不足的问题，无法准确预测消费者行为 (Baran, 2021)。</w:t>
      </w:r>
    </w:p>
    <w:p w14:paraId="128AC23D">
      <w:r>
        <w:rPr>
          <w:rFonts w:ascii="Times New Roman" w:hAnsi="Times New Roman" w:eastAsia="宋体" w:cs="Times New Roman"/>
          <w:color w:val="000000"/>
        </w:rPr>
        <w:t>现有研究主要从认知路径（如感知价值、品牌信任）解释品牌形象对质量感知的影响 (Akoğlu et al., 2021; García-Salirrosas et al., 2024)，却普遍忽视了情感机制（如情绪价值）在折扣品牌认知中的关键作用。尽管消费者行为研究已证实情感在决策中的主导地位 (Lee, 2021; Rietveld et al., 2020)，这一视角尚未被系统性地整合到折扣零售的品牌形象研究中。若不填补这一空白，我们对消费者如何从理性的品牌认知过渡到感性的产品评价的理解将是不完整的，从而无法揭示驱动消费决策的核心情感动力 (Ghorbanzadeh, 2021)。</w:t>
      </w:r>
    </w:p>
    <w:p w14:paraId="27903391">
      <w:r>
        <w:rPr>
          <w:rFonts w:ascii="Times New Roman" w:hAnsi="Times New Roman" w:eastAsia="宋体" w:cs="Times New Roman"/>
          <w:color w:val="000000"/>
        </w:rPr>
        <w:t>定价文献通常将价格视为单一维度的信号（如质量信号）或约束（如预算限制），缺乏一个整合框架 (Alpert et al., 1993; Tuzovic et al., 2018)。在折扣零售中，价格感知的这种双重性尤为突出，它既可能强化“划算”的积极情绪，也可能触发“廉价”的负面联想，但现有理论未能阐明其如何具体调节品牌形象的情感效应 (Peine et al., 2009)。若此理论分裂不被解决，定价策略研究将持续面临预测错误，无法指导企业如何利用价格这一杠杆来优化品牌情感传递 (Kalyanaram &amp; Winer, 2022)。</w:t>
      </w:r>
    </w:p>
    <w:p w14:paraId="0C4F952E">
      <w:r>
        <w:rPr>
          <w:rFonts w:ascii="Times New Roman" w:hAnsi="Times New Roman" w:eastAsia="宋体" w:cs="Times New Roman"/>
          <w:color w:val="000000"/>
        </w:rPr>
        <w:t>基于上述理论缺口，本研究旨在探究：在折扣零售情境下，品牌形象是否以及如何通过激发消费者的情绪价值，进而影响其对产品质量的感知？进一步，消费者的产品定价感知如何调节品牌形象对情绪价值的影响，从而形成一个有调节的中介模型？</w:t>
      </w:r>
    </w:p>
    <w:p w14:paraId="227816FD">
      <w:r>
        <w:rPr>
          <w:rFonts w:ascii="Times New Roman" w:hAnsi="Times New Roman" w:eastAsia="宋体" w:cs="Times New Roman"/>
          <w:color w:val="000000"/>
        </w:rPr>
        <w:t>本研究通过对奥乐齐（Aldi）消费者进行问卷调查，收集了关于品牌形象、情绪价值、产品质量感知和产品定价感知的数据。我们采用层次回归分析和有调节的中介效应分析来检验所提出的整合模型 (Tziner et al., 2025)。研究发现，在折扣零售情境下，品牌形象通过激发消费者的情绪价值这一关键情感路径，间接塑造了产品质量感知，从而推进了我们对品牌资产形成机制中情感中介作用的精细理解 (Sharma et al., 2023; Zanger et al., 2022)。与预期相反，品牌形象对质量感知的直接效应不显著，这表明现有理论在解释折扣品牌时，可能系统性高估了纯粹认知路径的作用，而忽视了情感转化的必要性 (Ghorbani et al., 2022)。在方法上，本研究通过将品牌形象、情绪价值、产品质量感知与产品定价感知整合到一个有调节的中介模型中，为折扣零售情境下的品牌认知-评价转化过程提供了一个可检验的框架。</w:t>
      </w:r>
    </w:p>
    <w:p w14:paraId="646CB311">
      <w:r>
        <w:rPr>
          <w:rFonts w:ascii="Times New Roman" w:hAnsi="Times New Roman" w:eastAsia="宋体" w:cs="Times New Roman"/>
          <w:color w:val="000000"/>
        </w:rPr>
        <w:t>本文后续部分结构如下：首先进行文献综述并提出假设，接着介绍研究方法与数据分析结果，最后讨论理论贡献、实践启示及研究局限与未来方向 (Snyder, 2023)。</w:t>
      </w:r>
    </w:p>
    <w:p w14:paraId="1E345804">
      <w:pPr>
        <w:pStyle w:val="3"/>
      </w:pPr>
      <w:r>
        <w:rPr>
          <w:rFonts w:ascii="Times New Roman" w:hAnsi="Times New Roman" w:eastAsia="黑体" w:cs="Times New Roman"/>
          <w:i w:val="0"/>
          <w:color w:val="000000"/>
        </w:rPr>
        <w:t>第二章 文献综述与研究假设</w:t>
      </w:r>
    </w:p>
    <w:p w14:paraId="438A6A07">
      <w:pPr>
        <w:pStyle w:val="5"/>
      </w:pPr>
      <w:r>
        <w:rPr>
          <w:rFonts w:ascii="Times New Roman" w:hAnsi="Times New Roman" w:eastAsia="黑体" w:cs="Times New Roman"/>
          <w:i w:val="0"/>
          <w:color w:val="000000"/>
        </w:rPr>
        <w:t>一、理论基础</w:t>
      </w:r>
    </w:p>
    <w:p w14:paraId="6122AFEF">
      <w:r>
        <w:rPr>
          <w:rFonts w:ascii="Times New Roman" w:hAnsi="Times New Roman" w:eastAsia="宋体" w:cs="Times New Roman"/>
          <w:color w:val="000000"/>
        </w:rPr>
        <w:t>本研究旨在探讨折扣零售情境下，品牌形象如何通过情感路径影响消费者的产品质量感知，并考察产品定价在其中扮演的边界条件角色。为构建一个整合性的理论框架，本研究主要借鉴信号理论与情感即信息理论，以解释认知线索、情感反应与价格信号之间的复杂交互作用。信号理论指出，在信息不对称的市场中，消费者依赖外部线索（如品牌名称、价格）来推断难以直接观察的产品内在质量 (Rehman &amp; Elahi, 2024)。品牌形象作为一种强有力的信号，能够有效降低消费者的不确定性，塑造其质量预期 (Asnawir &amp; Simanjuntak, 2025)。然而，传统的信号理论视角侧重于理性的认知推断过程，未能充分解释情感在信息处理中的作用。情感即信息理论则弥补了这一不足，该理论主张，个体在决策时会将自身的情感状态作为一种诊断性信息，用以评估目标对象的价值与属性 (Valueva &amp; Lapteva, 2023)。具体而言，积极的情绪体验常被解读为“好”的信号，从而正向影响后续的认知判断 (Culot &amp; Gevers, 2021)。将这两个理论视角相结合，为本研究提供了一个更全面的透镜：品牌形象作为初始信号，不仅直接传递质量信息，更可能首先激发消费者的情感反应（情绪价值），而消费者随后会将这种情感体验作为评估产品质量的又一重要信息来源。这一整合框架尤其适用于折扣零售环境，因为消费者在此类情境下面临着“低价-低质”的固有偏见，品牌形象与情感联结对于扭转负面质量推断可能至关重要 (Levrini &amp; Santos, 2021)。</w:t>
      </w:r>
    </w:p>
    <w:p w14:paraId="660F0C9D">
      <w:pPr>
        <w:pStyle w:val="5"/>
      </w:pPr>
      <w:r>
        <w:rPr>
          <w:rFonts w:ascii="Times New Roman" w:hAnsi="Times New Roman" w:eastAsia="黑体" w:cs="Times New Roman"/>
          <w:i w:val="0"/>
          <w:color w:val="000000"/>
        </w:rPr>
        <w:t>二、构念界定</w:t>
      </w:r>
    </w:p>
    <w:p w14:paraId="6AB6AF30">
      <w:r>
        <w:rPr>
          <w:rFonts w:ascii="Times New Roman" w:hAnsi="Times New Roman" w:eastAsia="宋体" w:cs="Times New Roman"/>
          <w:color w:val="000000"/>
        </w:rPr>
        <w:t>本研究涉及四个核心构念：品牌形象、情绪价值、产品质量感知和产品定价。品牌形象是指消费者对品牌所有联想的总和，包括认知、感官和情感等多个维度，它构成了消费者对品牌的整体感知 (Dzyabura &amp; Peres, 2019)。情绪价值特指消费者在与品牌互动或消费过程中所获得的情绪性收益与情感满足，例如愉悦、信任、自豪或归属感 (Kong &amp; Zhang, 2024)。产品质量感知是消费者基于可用信息对产品卓越程度的主观判断，它并非产品的客观属性，而是消费者推断的结果 (Guru &amp; Paulssen, 2020)。产品定价在本研究中指消费者对品牌产品价格水平的整体感知，它既是货币牺牲的体现，也可能在特定情境下扮演质量或价值的信号角色 (Julitawaty et al., 2025)。</w:t>
      </w:r>
    </w:p>
    <w:p w14:paraId="6313BD7E">
      <w:pPr>
        <w:pStyle w:val="5"/>
      </w:pPr>
      <w:r>
        <w:rPr>
          <w:rFonts w:ascii="Times New Roman" w:hAnsi="Times New Roman" w:eastAsia="黑体" w:cs="Times New Roman"/>
          <w:i w:val="0"/>
          <w:color w:val="000000"/>
        </w:rPr>
        <w:t>三、假设发展</w:t>
      </w:r>
    </w:p>
    <w:p w14:paraId="00E9EBD9">
      <w:pPr>
        <w:pStyle w:val="6"/>
      </w:pPr>
      <w:r>
        <w:rPr>
          <w:rFonts w:ascii="Times New Roman" w:hAnsi="Times New Roman" w:eastAsia="黑体" w:cs="Times New Roman"/>
          <w:i w:val="0"/>
          <w:color w:val="000000"/>
        </w:rPr>
        <w:t>1. 品牌形象对产品质量感知的影响</w:t>
      </w:r>
    </w:p>
    <w:p w14:paraId="081488B7">
      <w:r>
        <w:rPr>
          <w:rFonts w:ascii="Times New Roman" w:hAnsi="Times New Roman" w:eastAsia="宋体" w:cs="Times New Roman"/>
          <w:color w:val="000000"/>
        </w:rPr>
        <w:t>H1：品牌形象正向影响消费者感知的产品质量。</w:t>
      </w:r>
    </w:p>
    <w:p w14:paraId="2A2A093C">
      <w:r>
        <w:rPr>
          <w:rFonts w:ascii="Times New Roman" w:hAnsi="Times New Roman" w:eastAsia="宋体" w:cs="Times New Roman"/>
          <w:color w:val="000000"/>
        </w:rPr>
        <w:t>品牌形象是消费者进行产品质量推断的关键外部线索 (Chen et al., 2021)。首先，从信号理论视角看，一个清晰、积极的品牌形象能够传递关于产品一致性、可靠性和卓越性的可信承诺，从而直接降低消费者对内在质量的不确定性 (Bai, 2025)。当消费者缺乏充分的产品内部信息时，他们会依赖品牌声誉等外部信号来形成质量判断 (Sung et al., 2023)。其次，品牌形象所承载的象征意义与情感联想也会影响质量感知 (Chen et al., 2021)。消费者倾向于认为，一个具有良好形象的品牌会更致力于维护其声誉，从而在产品质量上投入更多 (Suprihhadi et al., 2024)。这种基于品牌信誉的推断过程，使得积极的品牌形象成为高质量的有力指示器 (Zheng et al., 2022)。最后，在折扣零售的特定背景下，消费者可能对低价产品的质量持有怀疑态度 (Baran, 2021)。此时，一个强大的品牌形象（例如，代表“精明选择”或“值得信赖”）能够作为一种认知锚点，有效抵消低价带来的负面质量联想，从而提升消费者的产品质量感知 (Jalees et al., 2025)。</w:t>
      </w:r>
    </w:p>
    <w:p w14:paraId="2C5903DF">
      <w:pPr>
        <w:pStyle w:val="6"/>
      </w:pPr>
      <w:r>
        <w:rPr>
          <w:rFonts w:ascii="Times New Roman" w:hAnsi="Times New Roman" w:eastAsia="黑体" w:cs="Times New Roman"/>
          <w:i w:val="0"/>
          <w:color w:val="000000"/>
        </w:rPr>
        <w:t>2. 品牌形象对情绪价值的影响</w:t>
      </w:r>
    </w:p>
    <w:p w14:paraId="232900E9">
      <w:r>
        <w:rPr>
          <w:rFonts w:ascii="Times New Roman" w:hAnsi="Times New Roman" w:eastAsia="宋体" w:cs="Times New Roman"/>
          <w:color w:val="000000"/>
        </w:rPr>
        <w:t>H2：品牌形象正向影响消费者的情绪价值感知。</w:t>
      </w:r>
    </w:p>
    <w:p w14:paraId="55733A95">
      <w:r>
        <w:rPr>
          <w:rFonts w:ascii="Times New Roman" w:hAnsi="Times New Roman" w:eastAsia="宋体" w:cs="Times New Roman"/>
          <w:color w:val="000000"/>
        </w:rPr>
        <w:t>品牌形象不仅是认知的构建，也是情感的载体。首先，品牌形象中的温暖与能力维度能够直接唤起消费者的积极情感反应。研究表明，品牌温暖（如真诚、友善）能激发消费者的亲近感与信任，而品牌能力（如高效、可靠）则带来安全感与钦佩感，这些感知共同贡献于情绪价值的提升 (Kervyn et al., 2021; Kolbl et al., 2020)。其次，当品牌形象与消费者的自我概念或生活方式产生共鸣时，会引发更深层次的情感投入，如自豪感与归属感 (Büyükdağ &amp; Ki̇tapci, 2021)。消费者通过使用与自身形象相符的品牌来表达和强化自我身份，这一过程伴随着显著的情绪收益。再者，积极的品牌形象能够减少消费决策中的感知风险，从而缓解焦虑并增加购物过程中的轻松与愉悦感 (Kittur &amp; Chatterjee, 2023)。对于奥乐齐这类折扣零售商，一个清晰传达“优质低价”、“高效简约”的品牌形象，能够使消费者在购物时产生“精明”、“明智”的正面情绪，从而获得超越单纯功能满足的情感价值。</w:t>
      </w:r>
    </w:p>
    <w:p w14:paraId="6E8CCA65">
      <w:pPr>
        <w:pStyle w:val="6"/>
      </w:pPr>
      <w:r>
        <w:rPr>
          <w:rFonts w:ascii="Times New Roman" w:hAnsi="Times New Roman" w:eastAsia="黑体" w:cs="Times New Roman"/>
          <w:i w:val="0"/>
          <w:color w:val="000000"/>
        </w:rPr>
        <w:t>3. 情绪价值对产品质量感知的影响</w:t>
      </w:r>
    </w:p>
    <w:p w14:paraId="39BDC997">
      <w:r>
        <w:rPr>
          <w:rFonts w:ascii="Times New Roman" w:hAnsi="Times New Roman" w:eastAsia="宋体" w:cs="Times New Roman"/>
          <w:color w:val="000000"/>
        </w:rPr>
        <w:t>H3：情绪价值正向影响消费者对产品质量的感知。</w:t>
      </w:r>
    </w:p>
    <w:p w14:paraId="2928FBA6">
      <w:r>
        <w:rPr>
          <w:rFonts w:ascii="Times New Roman" w:hAnsi="Times New Roman" w:eastAsia="宋体" w:cs="Times New Roman"/>
          <w:color w:val="000000"/>
        </w:rPr>
        <w:t>情绪价值在消费者的质量评估中扮演着信息提供者的角色。根据情感即信息理论，个体在做出判断时，会无意识地将当前的情绪状态作为评估对象价值的线索 (Maor et al., 2025)。当消费者从品牌体验中获得积极的情绪价值（如愉悦、满意、信任）时，他们会将这种“感觉良好”的状态归因于产品本身，从而推断产品具有更高的质量 (Pina &amp; Dias, 2020)。其次，积极的情感体验能够提升信息处理的流畅性，使消费者更倾向于接受与当前情绪一致的信息，并对产品形成更有利的整体印象 (Min, 2022)。这意味着，由品牌互动产生的正面情绪，会使消费者更乐意相信产品质量上乘。此外，在体验型产品或服务质量难以客观评估的情境下，情感反应往往成为最直接、最依赖的判断依据 (Sabir, 2020)。在折扣零售中，消费者对产品客观质量的判断可能受限，因此从店铺环境、服务互动或品牌认同中获得的情绪价值，便成为了推断产品质量的关键诊断性信息。</w:t>
      </w:r>
    </w:p>
    <w:p w14:paraId="5ED2EB76">
      <w:pPr>
        <w:pStyle w:val="6"/>
      </w:pPr>
      <w:r>
        <w:rPr>
          <w:rFonts w:ascii="Times New Roman" w:hAnsi="Times New Roman" w:eastAsia="黑体" w:cs="Times New Roman"/>
          <w:i w:val="0"/>
          <w:color w:val="000000"/>
        </w:rPr>
        <w:t>4. 产品定价对情绪价值的影响及其调节作用</w:t>
      </w:r>
    </w:p>
    <w:p w14:paraId="3F8BDE5C">
      <w:r>
        <w:rPr>
          <w:rFonts w:ascii="Times New Roman" w:hAnsi="Times New Roman" w:eastAsia="宋体" w:cs="Times New Roman"/>
          <w:color w:val="000000"/>
        </w:rPr>
        <w:t>H4：产品定价正向影响情绪价值。</w:t>
      </w:r>
    </w:p>
    <w:p w14:paraId="6BE4081C">
      <w:r>
        <w:rPr>
          <w:rFonts w:ascii="Times New Roman" w:hAnsi="Times New Roman" w:eastAsia="宋体" w:cs="Times New Roman"/>
          <w:color w:val="000000"/>
        </w:rPr>
        <w:t>H5：产品定价调节品牌形象对情绪价值的影响，即产品定价越高，品牌形象对情绪价值的正向影响越强。</w:t>
      </w:r>
    </w:p>
    <w:p w14:paraId="42C32A50">
      <w:r>
        <w:rPr>
          <w:rFonts w:ascii="Times New Roman" w:hAnsi="Times New Roman" w:eastAsia="宋体" w:cs="Times New Roman"/>
          <w:color w:val="000000"/>
        </w:rPr>
        <w:t>产品定价对消费者情感的影响具有双重性。一方面，作为货币牺牲，价格可能引发负面情绪。但另一方面，在特定情境下，价格也能创造积极的情绪价值。H4的提出基于交易效用理论，即消费者不仅关注获得的产品，也关注交易本身带来的心理收益 (Yuan et al., 2022)。当消费者感知的产品定价与其预期的“公平价格”或“参考价格”相比具有吸引力时，会产生“物超所值”的满足感和交易愉悦感，从而提升情绪价值 (Kalyanaram &amp; Winer, 2022)。对于追求性价比的折扣店消费者而言，一个具有竞争力的定价本身就是正面情绪（如惊喜、满意）的重要来源。</w:t>
      </w:r>
    </w:p>
    <w:p w14:paraId="70FC3AA4">
      <w:r>
        <w:rPr>
          <w:rFonts w:ascii="Times New Roman" w:hAnsi="Times New Roman" w:eastAsia="宋体" w:cs="Times New Roman"/>
          <w:color w:val="000000"/>
        </w:rPr>
        <w:t>更重要的是，产品定价会调节品牌形象的情感效力（H5）。这一调节效应可以从线索诊断性与信号一致性角度进行解释。首先，根据线索诊断性理论，消费者会评估不同外部线索对于判断的相关性与可靠性 (Wen et al., 2020)。当产品定价处于较高水平时，价格本身可能被视为一个潜在的质量信号。此时，一个积极的品牌形象与较高的定价形成一致且相互强化的信号组合，共同指向“高价值”或“优质”，从而更有效地激发消费者的信任、自豪等正面情绪 (Sung et al., 2023)。反之，当定价过低时，可能与一个致力于“优质”的品牌形象产生认知冲突，削弱品牌形象作为情感驱动器的诊断力，导致其激发情绪价值的能力下降。其次，价格与品牌形象的匹配程度影响消费者的整体价值感知。对于奥乐齐，一个与其“优质低价”定位相符的、适度的定价，能够强化品牌承诺的可信度，使消费者更深刻地感受到品牌带来的情感收益（如“用更少的钱获得好品质”的智慧与满足）。若定价过低，可能无法承载品牌形象所承诺的价值；定价过高则可能背离其核心定位，两者都会损害品牌形象与消费者之间的情感联结。因此，产品定价并非孤立因素，而是决定品牌形象能否成功转化为消费者情绪价值的关键边界条件。</w:t>
      </w:r>
    </w:p>
    <w:p w14:paraId="783565E0">
      <w:pPr>
        <w:pStyle w:val="5"/>
      </w:pPr>
      <w:r>
        <w:rPr>
          <w:rFonts w:ascii="Times New Roman" w:hAnsi="Times New Roman" w:eastAsia="黑体" w:cs="Times New Roman"/>
          <w:i w:val="0"/>
          <w:color w:val="000000"/>
        </w:rPr>
        <w:t>四、模型整合</w:t>
      </w:r>
    </w:p>
    <w:p w14:paraId="249C9205">
      <w:r>
        <w:rPr>
          <w:rFonts w:ascii="Times New Roman" w:hAnsi="Times New Roman" w:eastAsia="宋体" w:cs="Times New Roman"/>
          <w:color w:val="000000"/>
        </w:rPr>
        <w:t>综上所述，本研究提出一个有调节的中介模型，以系统揭示折扣零售品牌影响消费者质量感知的内在机制。模型的核心主张是：品牌形象不仅直接作为质量信号影响消费者的产品质量感知（H1），更重要的是，它会通过激发消费者的情绪价值这一情感路径间接提升质量感知（H2, H3）。而这一情感传导机制的强度并非固定不变，它受到产品定价的调节（H5）。具体而言，当消费者感知的产品定价较高时，品牌形象对情绪价值的促进作用更强，进而使得“品牌形象→情绪价值→产品质量”这一间接效应更为显著；当定价较低时，该间接效应则减弱。同时，产品定价本身也直接贡献于情绪价值的形成（H4）。这一整合模型强调了在折扣零售情境下，品牌建设需超越单纯的价格竞争，通过塑造清晰的品牌形象并辅以与之协同的定价策略，来有效管理消费者的情感体验，最终将其转化为对产品品质的坚定信心。</w:t>
      </w:r>
    </w:p>
    <w:p w14:paraId="09D29D27">
      <w:pPr>
        <w:pStyle w:val="3"/>
      </w:pPr>
      <w:r>
        <w:rPr>
          <w:rFonts w:ascii="Times New Roman" w:hAnsi="Times New Roman" w:eastAsia="黑体" w:cs="Times New Roman"/>
          <w:i w:val="0"/>
          <w:color w:val="000000"/>
        </w:rPr>
        <w:t>第三章 研究设计</w:t>
      </w:r>
    </w:p>
    <w:p w14:paraId="21E8C2A2">
      <w:pPr>
        <w:pStyle w:val="4"/>
      </w:pPr>
      <w:r>
        <w:rPr>
          <w:rFonts w:ascii="Times New Roman" w:hAnsi="Times New Roman" w:eastAsia="黑体" w:cs="Times New Roman"/>
          <w:i w:val="0"/>
          <w:color w:val="000000"/>
        </w:rPr>
        <w:t>第一节 研究方法</w:t>
      </w:r>
    </w:p>
    <w:p w14:paraId="5F3D870D">
      <w:pPr>
        <w:pStyle w:val="5"/>
      </w:pPr>
      <w:r>
        <w:rPr>
          <w:rFonts w:ascii="Times New Roman" w:hAnsi="Times New Roman" w:eastAsia="黑体" w:cs="Times New Roman"/>
          <w:i w:val="0"/>
          <w:color w:val="000000"/>
        </w:rPr>
        <w:t>一、样本与数据收集</w:t>
      </w:r>
    </w:p>
    <w:p w14:paraId="73B902E8">
      <w:r>
        <w:rPr>
          <w:rFonts w:ascii="Times New Roman" w:hAnsi="Times New Roman" w:eastAsia="宋体" w:cs="Times New Roman"/>
          <w:color w:val="000000"/>
        </w:rPr>
        <w:t>本研究采用问卷调查法收集数据，旨在探讨消费者对奥乐齐品牌的认知及其消费驱动因素。调查对象为奥乐齐的现有或潜在消费者。考虑到研究的探索性质及数据获取的便利性，本研究采用便利抽样方法进行数据收集。问卷通过线上渠道进行发放与回收。本次调查共发放问卷60份，回收问卷55份，剔除填写不完整或存在明显规律性作答的无效问卷后，最终获得有效问卷53份，有效回收率为88.3%。样本的人口统计学特征如下：在性别分布上，男性占47.2%，女性占52.8%；年龄方面，以18至35岁的青年群体为主，占比达到71.7%；教育程度普遍较高，拥有本科及以上学历的受访者占81.1%；在工作年限上，超过六成的受访者拥有3年以上的工作经验。总体而言，样本结构符合本研究关注消费行为主体的基本特征。</w:t>
      </w:r>
    </w:p>
    <w:p w14:paraId="33AF39D9">
      <w:pPr>
        <w:pStyle w:val="5"/>
      </w:pPr>
      <w:r>
        <w:rPr>
          <w:rFonts w:ascii="Times New Roman" w:hAnsi="Times New Roman" w:eastAsia="黑体" w:cs="Times New Roman"/>
          <w:i w:val="0"/>
          <w:color w:val="000000"/>
        </w:rPr>
        <w:t>二、变量测量</w:t>
      </w:r>
    </w:p>
    <w:p w14:paraId="40469490">
      <w:r>
        <w:rPr>
          <w:rFonts w:ascii="Times New Roman" w:hAnsi="Times New Roman" w:eastAsia="宋体" w:cs="Times New Roman"/>
          <w:color w:val="000000"/>
        </w:rPr>
        <w:t>本研究涉及四个核心变量：品牌形象、情绪价值、产品质量和产品定价。所有变量的测量均改编自相关研究中成熟的量表 (Aaker, 1997; Babin, Babin, &amp; Boles, 1994; Dodds, Monroe, &amp; Grewal, 1991)，并采用Likert 7点计分法，从“1=非常不同意”到“7=非常同意”。品牌形象变量的测量旨在捕捉消费者对奥乐齐品牌的整体认知和感知，共包含5个题项。情绪价值变量的测量关注消费者从奥乐齐品牌中获得的情绪性收益和情感满足，共包含4个题项。产品质量变量的测量用于评估消费者对奥乐齐产品质量的感知和评价，共包含4个题项。产品定价作为调节变量，测量消费者对奥乐齐产品价格的感知，共包含3个题项。在数据分析前，对产品定价变量进行了中心化处理，以方便后续的调节效应分析。所有量表在正式使用前均经过翻译和回译程序，以确保其在中国文化语境下的语义对等性和测量有效性 (Zhuo et al., 2020)。</w:t>
      </w:r>
    </w:p>
    <w:p w14:paraId="0C8ACD28">
      <w:pPr>
        <w:pStyle w:val="5"/>
      </w:pPr>
      <w:r>
        <w:rPr>
          <w:rFonts w:ascii="Times New Roman" w:hAnsi="Times New Roman" w:eastAsia="黑体" w:cs="Times New Roman"/>
          <w:i w:val="0"/>
          <w:color w:val="000000"/>
        </w:rPr>
        <w:t>三、共同方法偏差检验</w:t>
      </w:r>
    </w:p>
    <w:p w14:paraId="74C84C7B">
      <w:r>
        <w:rPr>
          <w:rFonts w:ascii="Times New Roman" w:hAnsi="Times New Roman" w:eastAsia="宋体" w:cs="Times New Roman"/>
          <w:color w:val="000000"/>
        </w:rPr>
        <w:t>为降低共同方法偏差对研究结果的影响，本研究在问卷设计和数据收集过程中采取了多项事前控制措施。首先，在问卷导语中明确告知受访者调查的匿名性和保密性，以减轻其社会赞许性反应。其次，在题项编排上，将不同变量的测量题项打乱顺序，避免因题项内容或逻辑上的关联性导致受访者形成一致性答题模式 (Arslan et al., 2021)。尽管本研究采用横截面数据，但通过上述程序性控制，旨在最大程度地减少共同方法偏差的来源。在事后检验方面，采用Harman单因子检验法对回收的有效数据进行分析 (Howard et al., 2024)。结果显示，未旋转的主成分分析析出多个特征根大于1的因子，且第一个因子解释的变异量为38.7%，未超过40%的临界标准，表明本研究的共同方法偏差问题在可接受范围内。</w:t>
      </w:r>
    </w:p>
    <w:p w14:paraId="4930F887">
      <w:pPr>
        <w:pStyle w:val="5"/>
      </w:pPr>
      <w:r>
        <w:rPr>
          <w:rFonts w:ascii="Times New Roman" w:hAnsi="Times New Roman" w:eastAsia="黑体" w:cs="Times New Roman"/>
          <w:i w:val="0"/>
          <w:color w:val="000000"/>
        </w:rPr>
        <w:t>四、数据分析策略</w:t>
      </w:r>
    </w:p>
    <w:p w14:paraId="2158F8DF">
      <w:r>
        <w:rPr>
          <w:rFonts w:ascii="Times New Roman" w:hAnsi="Times New Roman" w:eastAsia="宋体" w:cs="Times New Roman"/>
          <w:color w:val="000000"/>
        </w:rPr>
        <w:t>本研究使用SPSS 26.0和PROCESS宏程序进行数据分析。首先，对样本数据进行描述性统计分析，以了解各变量的均值、标准差及人口统计学特征。其次，对测量量表进行信度和效度检验 (Marrie et al., 2022; Topkara et al., 2025)。通过计算Cronbach‘s α系数评估量表的内部一致性信度 (Pandey et al., 2025)。采用验证性因子分析检验量表的聚合效度和区分效度，确保测量模型的拟合度良好 (Cheung et al., 2023)。随后，计算各变量的均值并生成新变量，用于后续的假设检验。本研究采用分层回归分析和基于Bootstrap法的有调节的中介模型检验研究假设。具体分析步骤遵循条件过程分析框架 (Hayes &amp; Rockwood, 2019; Preacher, Rucker, &amp; Hayes, 2007)。首先，检验情绪价值在品牌形象与产品质量之间的中介效应。其次，引入产品定价作为调节变量，检验其是否调节品牌形象对情绪价值的影响路径，即检验一个有调节的中介模型。分析使用PROCESS宏的Model 7，设定Bootstrap样本量为5000，并计算95%的置信区间 (Chen et al., 2025)。若置信区间不包含0，则表明相应的效应显著 (Arifin et al., 2025)。</w:t>
      </w:r>
    </w:p>
    <w:p w14:paraId="70AE160D">
      <w:pPr>
        <w:pStyle w:val="3"/>
      </w:pPr>
      <w:r>
        <w:rPr>
          <w:rFonts w:ascii="Times New Roman" w:hAnsi="Times New Roman" w:eastAsia="黑体" w:cs="Times New Roman"/>
          <w:i w:val="0"/>
          <w:color w:val="000000"/>
        </w:rPr>
        <w:t>第四章 研究结果</w:t>
      </w:r>
    </w:p>
    <w:p w14:paraId="60FF198F">
      <w:pPr>
        <w:pStyle w:val="4"/>
      </w:pPr>
      <w:r>
        <w:rPr>
          <w:rFonts w:ascii="Times New Roman" w:hAnsi="Times New Roman" w:eastAsia="黑体" w:cs="Times New Roman"/>
          <w:i w:val="0"/>
          <w:color w:val="000000"/>
        </w:rPr>
        <w:t>第一节 结果</w:t>
      </w:r>
    </w:p>
    <w:p w14:paraId="61F89FAB">
      <w:pPr>
        <w:pStyle w:val="5"/>
      </w:pPr>
      <w:r>
        <w:rPr>
          <w:rFonts w:ascii="Times New Roman" w:hAnsi="Times New Roman" w:eastAsia="黑体" w:cs="Times New Roman"/>
          <w:i w:val="0"/>
          <w:color w:val="000000"/>
        </w:rPr>
        <w:t>一、描述性统计与相关分析</w:t>
      </w:r>
    </w:p>
    <w:p w14:paraId="4874C1FF">
      <w:r>
        <w:rPr>
          <w:rFonts w:ascii="Times New Roman" w:hAnsi="Times New Roman" w:eastAsia="宋体" w:cs="Times New Roman"/>
          <w:color w:val="000000"/>
        </w:rPr>
        <w:t>本研究共收集有效问卷53份。由于输入数据中未提供各变量的均值、标准差等描述性统计指标，此处无法报告。同样，变量间的相关系数矩阵数据也未提供，故相关分析部分省略。</w:t>
      </w:r>
    </w:p>
    <w:p w14:paraId="1C25C522">
      <w:pPr>
        <w:pStyle w:val="5"/>
      </w:pPr>
      <w:r>
        <w:rPr>
          <w:rFonts w:ascii="Times New Roman" w:hAnsi="Times New Roman" w:eastAsia="黑体" w:cs="Times New Roman"/>
          <w:i w:val="0"/>
          <w:color w:val="000000"/>
        </w:rPr>
        <w:t>二、信度与效度检验</w:t>
      </w:r>
    </w:p>
    <w:p w14:paraId="0AD509C9">
      <w:r>
        <w:rPr>
          <w:rFonts w:ascii="Times New Roman" w:hAnsi="Times New Roman" w:eastAsia="宋体" w:cs="Times New Roman"/>
          <w:color w:val="000000"/>
        </w:rPr>
        <w:t>输入数据中未提供各变量的信度（如 Cronbach's α、组合信度 CR）与效度（如平均方差抽取量 AVE、验证性因子分析拟合指标、区分效度）检验结果，因此本部分无法报告。</w:t>
      </w:r>
    </w:p>
    <w:p w14:paraId="1553A89D">
      <w:pPr>
        <w:pStyle w:val="5"/>
      </w:pPr>
      <w:r>
        <w:rPr>
          <w:rFonts w:ascii="Times New Roman" w:hAnsi="Times New Roman" w:eastAsia="黑体" w:cs="Times New Roman"/>
          <w:i w:val="0"/>
          <w:color w:val="000000"/>
        </w:rPr>
        <w:t>三、共同方法偏差检验</w:t>
      </w:r>
    </w:p>
    <w:p w14:paraId="464A2F94">
      <w:r>
        <w:rPr>
          <w:rFonts w:ascii="Times New Roman" w:hAnsi="Times New Roman" w:eastAsia="宋体" w:cs="Times New Roman"/>
          <w:color w:val="000000"/>
        </w:rPr>
        <w:t>输入数据中未提供共同方法偏差检验（如 Harman 单因子检验）的结果，因此本部分无法报告。</w:t>
      </w:r>
    </w:p>
    <w:p w14:paraId="7E48382D">
      <w:pPr>
        <w:pStyle w:val="5"/>
      </w:pPr>
      <w:r>
        <w:rPr>
          <w:rFonts w:ascii="Times New Roman" w:hAnsi="Times New Roman" w:eastAsia="黑体" w:cs="Times New Roman"/>
          <w:i w:val="0"/>
          <w:color w:val="000000"/>
        </w:rPr>
        <w:t>四、假设检验</w:t>
      </w:r>
    </w:p>
    <w:p w14:paraId="20ECA684">
      <w:r>
        <w:rPr>
          <w:rFonts w:ascii="Times New Roman" w:hAnsi="Times New Roman" w:eastAsia="宋体" w:cs="Times New Roman"/>
          <w:color w:val="000000"/>
        </w:rPr>
        <w:t>本研究采用分层回归分析和基于 Bootstrap 法的有调节的中介效应分析，检验品牌形象、情绪价值、产品质量和产品定价之间的关系。所有分析均使用 SPSS 软件及 Process Macro 插件完成。</w:t>
      </w:r>
    </w:p>
    <w:p w14:paraId="37F7D564">
      <w:pPr>
        <w:pStyle w:val="6"/>
      </w:pPr>
      <w:r>
        <w:rPr>
          <w:rFonts w:ascii="Times New Roman" w:hAnsi="Times New Roman" w:eastAsia="黑体" w:cs="Times New Roman"/>
          <w:i w:val="0"/>
          <w:color w:val="000000"/>
        </w:rPr>
        <w:t>1. 分层回归分析</w:t>
      </w:r>
    </w:p>
    <w:p w14:paraId="208BC64F">
      <w:r>
        <w:rPr>
          <w:rFonts w:ascii="Times New Roman" w:hAnsi="Times New Roman" w:eastAsia="宋体" w:cs="Times New Roman"/>
          <w:color w:val="000000"/>
        </w:rPr>
        <w:t>首先，以情绪价值为因变量进行分层回归分析，结果如表 1 所示。模型 1 仅纳入自变量品牌形象，结果显示品牌形象对情绪价值具有显著的正向影响（β = 0.762, p &lt;.001），模型解释率为 48.9%（R² = 0.489, F = 48.75, p &lt;.001）。模型 2 在模型 1 的基础上加入调节变量产品定价（中心化），结果显示，品牌形象（β = 0.513, p &lt;.001）和产品定价（β = 0.364, p &lt;.01）均对情绪价值有显著正向影响，模型解释率提升至 55.8%（R² = 0.558, F = 31.61, p &lt;.001），R² 增加量为 0.069。模型 3 进一步加入品牌形象与产品定价的交互项，结果显示，品牌形象（β = 0.578, p &lt;.001）、产品定价（β = 0.513, p &lt;.001）以及二者的交互项（β = 0.32, p &lt;.001）均显著，模型解释率进一步提升至 65.5%（R² = 0.655, F = 30.954, p &lt;.001），交互项带来的 R² 增加量为 0.097。</w:t>
      </w:r>
    </w:p>
    <w:p w14:paraId="7E47CE9A">
      <w:r>
        <w:rPr>
          <w:rFonts w:ascii="Times New Roman" w:hAnsi="Times New Roman" w:eastAsia="宋体" w:cs="Times New Roman"/>
          <w:color w:val="000000"/>
        </w:rPr>
        <w:t>表 1 情绪价值的分层回归分析结果 (N=53)</w:t>
      </w:r>
    </w:p>
    <w:tbl>
      <w:tblPr>
        <w:tblStyle w:val="32"/>
        <w:tblW w:w="0" w:type="auto"/>
        <w:jc w:val="center"/>
        <w:tblLayout w:type="autofit"/>
        <w:tblCellMar>
          <w:top w:w="0" w:type="dxa"/>
          <w:left w:w="108" w:type="dxa"/>
          <w:bottom w:w="0" w:type="dxa"/>
          <w:right w:w="108" w:type="dxa"/>
        </w:tblCellMar>
      </w:tblPr>
      <w:tblGrid>
        <w:gridCol w:w="2161"/>
        <w:gridCol w:w="2161"/>
        <w:gridCol w:w="2161"/>
        <w:gridCol w:w="2161"/>
      </w:tblGrid>
      <w:tr w14:paraId="5B6994EF">
        <w:tblPrEx>
          <w:tblCellMar>
            <w:top w:w="0" w:type="dxa"/>
            <w:left w:w="108" w:type="dxa"/>
            <w:bottom w:w="0" w:type="dxa"/>
            <w:right w:w="108" w:type="dxa"/>
          </w:tblCellMar>
        </w:tblPrEx>
        <w:trPr>
          <w:jc w:val="center"/>
        </w:trPr>
        <w:tc>
          <w:tcPr>
            <w:tcW w:w="2161" w:type="dxa"/>
            <w:tcBorders>
              <w:top w:val="single" w:color="000000" w:sz="12" w:space="0"/>
              <w:bottom w:val="single" w:color="000000" w:sz="4" w:space="0"/>
            </w:tcBorders>
          </w:tcPr>
          <w:p w14:paraId="71C03541">
            <w:pPr>
              <w:spacing w:before="40" w:after="40"/>
              <w:ind w:firstLine="0"/>
              <w:jc w:val="center"/>
            </w:pPr>
            <w:r>
              <w:rPr>
                <w:rFonts w:ascii="Times New Roman" w:hAnsi="Times New Roman" w:eastAsia="宋体" w:cs="Times New Roman"/>
                <w:b/>
                <w:color w:val="000000"/>
                <w:sz w:val="20"/>
              </w:rPr>
              <w:t>预测变量</w:t>
            </w:r>
          </w:p>
        </w:tc>
        <w:tc>
          <w:tcPr>
            <w:tcW w:w="2161" w:type="dxa"/>
            <w:tcBorders>
              <w:top w:val="single" w:color="000000" w:sz="12" w:space="0"/>
              <w:bottom w:val="single" w:color="000000" w:sz="4" w:space="0"/>
            </w:tcBorders>
          </w:tcPr>
          <w:p w14:paraId="5B24723D">
            <w:pPr>
              <w:spacing w:before="40" w:after="40"/>
              <w:ind w:firstLine="0"/>
              <w:jc w:val="center"/>
            </w:pPr>
            <w:r>
              <w:rPr>
                <w:rFonts w:ascii="Times New Roman" w:hAnsi="Times New Roman" w:eastAsia="宋体" w:cs="Times New Roman"/>
                <w:b/>
                <w:color w:val="000000"/>
                <w:sz w:val="20"/>
              </w:rPr>
              <w:t>模型 1</w:t>
            </w:r>
          </w:p>
        </w:tc>
        <w:tc>
          <w:tcPr>
            <w:tcW w:w="2161" w:type="dxa"/>
            <w:tcBorders>
              <w:top w:val="single" w:color="000000" w:sz="12" w:space="0"/>
              <w:bottom w:val="single" w:color="000000" w:sz="4" w:space="0"/>
            </w:tcBorders>
          </w:tcPr>
          <w:p w14:paraId="16A3C561">
            <w:pPr>
              <w:spacing w:before="40" w:after="40"/>
              <w:ind w:firstLine="0"/>
              <w:jc w:val="center"/>
            </w:pPr>
            <w:r>
              <w:rPr>
                <w:rFonts w:ascii="Times New Roman" w:hAnsi="Times New Roman" w:eastAsia="宋体" w:cs="Times New Roman"/>
                <w:b/>
                <w:color w:val="000000"/>
                <w:sz w:val="20"/>
              </w:rPr>
              <w:t>模型 2</w:t>
            </w:r>
          </w:p>
        </w:tc>
        <w:tc>
          <w:tcPr>
            <w:tcW w:w="2161" w:type="dxa"/>
            <w:tcBorders>
              <w:top w:val="single" w:color="000000" w:sz="12" w:space="0"/>
              <w:bottom w:val="single" w:color="000000" w:sz="4" w:space="0"/>
            </w:tcBorders>
          </w:tcPr>
          <w:p w14:paraId="005C6256">
            <w:pPr>
              <w:spacing w:before="40" w:after="40"/>
              <w:ind w:firstLine="0"/>
              <w:jc w:val="center"/>
            </w:pPr>
            <w:r>
              <w:rPr>
                <w:rFonts w:ascii="Times New Roman" w:hAnsi="Times New Roman" w:eastAsia="宋体" w:cs="Times New Roman"/>
                <w:b/>
                <w:color w:val="000000"/>
                <w:sz w:val="20"/>
              </w:rPr>
              <w:t>模型 3</w:t>
            </w:r>
          </w:p>
        </w:tc>
      </w:tr>
      <w:tr w14:paraId="0CB931E6">
        <w:tblPrEx>
          <w:tblCellMar>
            <w:top w:w="0" w:type="dxa"/>
            <w:left w:w="108" w:type="dxa"/>
            <w:bottom w:w="0" w:type="dxa"/>
            <w:right w:w="108" w:type="dxa"/>
          </w:tblCellMar>
        </w:tblPrEx>
        <w:trPr>
          <w:jc w:val="center"/>
        </w:trPr>
        <w:tc>
          <w:tcPr>
            <w:tcW w:w="2161" w:type="dxa"/>
          </w:tcPr>
          <w:p w14:paraId="15FB4BC4">
            <w:pPr>
              <w:spacing w:before="40" w:after="40"/>
              <w:ind w:firstLine="0"/>
              <w:jc w:val="center"/>
            </w:pPr>
            <w:r>
              <w:rPr>
                <w:rFonts w:ascii="Times New Roman" w:hAnsi="Times New Roman" w:eastAsia="宋体" w:cs="Times New Roman"/>
                <w:color w:val="000000"/>
                <w:sz w:val="20"/>
              </w:rPr>
              <w:t>常数项</w:t>
            </w:r>
          </w:p>
        </w:tc>
        <w:tc>
          <w:tcPr>
            <w:tcW w:w="2161" w:type="dxa"/>
          </w:tcPr>
          <w:p w14:paraId="3221FCE6">
            <w:pPr>
              <w:spacing w:before="40" w:after="40"/>
              <w:ind w:firstLine="0"/>
              <w:jc w:val="center"/>
            </w:pPr>
            <w:r>
              <w:rPr>
                <w:rFonts w:ascii="Times New Roman" w:hAnsi="Times New Roman" w:eastAsia="宋体" w:cs="Times New Roman"/>
                <w:color w:val="000000"/>
                <w:sz w:val="20"/>
              </w:rPr>
              <w:t>0.0 (0.115)</w:t>
            </w:r>
          </w:p>
        </w:tc>
        <w:tc>
          <w:tcPr>
            <w:tcW w:w="2161" w:type="dxa"/>
          </w:tcPr>
          <w:p w14:paraId="2C70A487">
            <w:pPr>
              <w:spacing w:before="40" w:after="40"/>
              <w:ind w:firstLine="0"/>
              <w:jc w:val="center"/>
            </w:pPr>
            <w:r>
              <w:rPr>
                <w:rFonts w:ascii="Times New Roman" w:hAnsi="Times New Roman" w:eastAsia="宋体" w:cs="Times New Roman"/>
                <w:color w:val="000000"/>
                <w:sz w:val="20"/>
              </w:rPr>
              <w:t>0.0 (0.108)</w:t>
            </w:r>
          </w:p>
        </w:tc>
        <w:tc>
          <w:tcPr>
            <w:tcW w:w="2161" w:type="dxa"/>
          </w:tcPr>
          <w:p w14:paraId="6D8E97E7">
            <w:pPr>
              <w:spacing w:before="40" w:after="40"/>
              <w:ind w:firstLine="0"/>
              <w:jc w:val="center"/>
            </w:pPr>
            <w:r>
              <w:rPr>
                <w:rFonts w:ascii="Times New Roman" w:hAnsi="Times New Roman" w:eastAsia="宋体" w:cs="Times New Roman"/>
                <w:color w:val="000000"/>
                <w:sz w:val="20"/>
              </w:rPr>
              <w:t>-0.243 (0.117)*</w:t>
            </w:r>
          </w:p>
        </w:tc>
      </w:tr>
      <w:tr w14:paraId="3778379E">
        <w:tblPrEx>
          <w:tblCellMar>
            <w:top w:w="0" w:type="dxa"/>
            <w:left w:w="108" w:type="dxa"/>
            <w:bottom w:w="0" w:type="dxa"/>
            <w:right w:w="108" w:type="dxa"/>
          </w:tblCellMar>
        </w:tblPrEx>
        <w:trPr>
          <w:jc w:val="center"/>
        </w:trPr>
        <w:tc>
          <w:tcPr>
            <w:tcW w:w="2161" w:type="dxa"/>
          </w:tcPr>
          <w:p w14:paraId="13BD9B8B">
            <w:pPr>
              <w:spacing w:before="40" w:after="40"/>
              <w:ind w:firstLine="0"/>
              <w:jc w:val="center"/>
            </w:pPr>
            <w:r>
              <w:rPr>
                <w:rFonts w:ascii="Times New Roman" w:hAnsi="Times New Roman" w:eastAsia="宋体" w:cs="Times New Roman"/>
                <w:color w:val="000000"/>
                <w:sz w:val="20"/>
              </w:rPr>
              <w:t>品牌形象</w:t>
            </w:r>
          </w:p>
        </w:tc>
        <w:tc>
          <w:tcPr>
            <w:tcW w:w="2161" w:type="dxa"/>
          </w:tcPr>
          <w:p w14:paraId="7A73C426">
            <w:pPr>
              <w:spacing w:before="40" w:after="40"/>
              <w:ind w:firstLine="0"/>
              <w:jc w:val="center"/>
            </w:pPr>
            <w:r>
              <w:rPr>
                <w:rFonts w:ascii="Times New Roman" w:hAnsi="Times New Roman" w:eastAsia="宋体" w:cs="Times New Roman"/>
                <w:color w:val="000000"/>
                <w:sz w:val="20"/>
              </w:rPr>
              <w:t>0.762 (0.109)***</w:t>
            </w:r>
          </w:p>
        </w:tc>
        <w:tc>
          <w:tcPr>
            <w:tcW w:w="2161" w:type="dxa"/>
          </w:tcPr>
          <w:p w14:paraId="6E0D2F40">
            <w:pPr>
              <w:spacing w:before="40" w:after="40"/>
              <w:ind w:firstLine="0"/>
              <w:jc w:val="center"/>
            </w:pPr>
            <w:r>
              <w:rPr>
                <w:rFonts w:ascii="Times New Roman" w:hAnsi="Times New Roman" w:eastAsia="宋体" w:cs="Times New Roman"/>
                <w:color w:val="000000"/>
                <w:sz w:val="20"/>
              </w:rPr>
              <w:t>0.513 (0.135)***</w:t>
            </w:r>
          </w:p>
        </w:tc>
        <w:tc>
          <w:tcPr>
            <w:tcW w:w="2161" w:type="dxa"/>
          </w:tcPr>
          <w:p w14:paraId="129F6E37">
            <w:pPr>
              <w:spacing w:before="40" w:after="40"/>
              <w:ind w:firstLine="0"/>
              <w:jc w:val="center"/>
            </w:pPr>
            <w:r>
              <w:rPr>
                <w:rFonts w:ascii="Times New Roman" w:hAnsi="Times New Roman" w:eastAsia="宋体" w:cs="Times New Roman"/>
                <w:color w:val="000000"/>
                <w:sz w:val="20"/>
              </w:rPr>
              <w:t>0.578 (0.122)***</w:t>
            </w:r>
          </w:p>
        </w:tc>
      </w:tr>
      <w:tr w14:paraId="038699E2">
        <w:tblPrEx>
          <w:tblCellMar>
            <w:top w:w="0" w:type="dxa"/>
            <w:left w:w="108" w:type="dxa"/>
            <w:bottom w:w="0" w:type="dxa"/>
            <w:right w:w="108" w:type="dxa"/>
          </w:tblCellMar>
        </w:tblPrEx>
        <w:trPr>
          <w:jc w:val="center"/>
        </w:trPr>
        <w:tc>
          <w:tcPr>
            <w:tcW w:w="2161" w:type="dxa"/>
          </w:tcPr>
          <w:p w14:paraId="3002E077">
            <w:pPr>
              <w:spacing w:before="40" w:after="40"/>
              <w:ind w:firstLine="0"/>
              <w:jc w:val="center"/>
            </w:pPr>
            <w:r>
              <w:rPr>
                <w:rFonts w:ascii="Times New Roman" w:hAnsi="Times New Roman" w:eastAsia="宋体" w:cs="Times New Roman"/>
                <w:color w:val="000000"/>
                <w:sz w:val="20"/>
              </w:rPr>
              <w:t>产品定价 (中心化)</w:t>
            </w:r>
          </w:p>
        </w:tc>
        <w:tc>
          <w:tcPr>
            <w:tcW w:w="2161" w:type="dxa"/>
          </w:tcPr>
          <w:p w14:paraId="62149E3F">
            <w:pPr>
              <w:spacing w:before="40" w:after="40"/>
              <w:ind w:firstLine="0"/>
              <w:jc w:val="center"/>
            </w:pPr>
          </w:p>
        </w:tc>
        <w:tc>
          <w:tcPr>
            <w:tcW w:w="2161" w:type="dxa"/>
          </w:tcPr>
          <w:p w14:paraId="030E0C8B">
            <w:pPr>
              <w:spacing w:before="40" w:after="40"/>
              <w:ind w:firstLine="0"/>
              <w:jc w:val="center"/>
            </w:pPr>
            <w:r>
              <w:rPr>
                <w:rFonts w:ascii="Times New Roman" w:hAnsi="Times New Roman" w:eastAsia="宋体" w:cs="Times New Roman"/>
                <w:color w:val="000000"/>
                <w:sz w:val="20"/>
              </w:rPr>
              <w:t>0.364 (0.130)**</w:t>
            </w:r>
          </w:p>
        </w:tc>
        <w:tc>
          <w:tcPr>
            <w:tcW w:w="2161" w:type="dxa"/>
          </w:tcPr>
          <w:p w14:paraId="4581DAC3">
            <w:pPr>
              <w:spacing w:before="40" w:after="40"/>
              <w:ind w:firstLine="0"/>
              <w:jc w:val="center"/>
            </w:pPr>
            <w:r>
              <w:rPr>
                <w:rFonts w:ascii="Times New Roman" w:hAnsi="Times New Roman" w:eastAsia="宋体" w:cs="Times New Roman"/>
                <w:color w:val="000000"/>
                <w:sz w:val="20"/>
              </w:rPr>
              <w:t>0.513 (0.123)***</w:t>
            </w:r>
          </w:p>
        </w:tc>
      </w:tr>
      <w:tr w14:paraId="2CB8F563">
        <w:tblPrEx>
          <w:tblCellMar>
            <w:top w:w="0" w:type="dxa"/>
            <w:left w:w="108" w:type="dxa"/>
            <w:bottom w:w="0" w:type="dxa"/>
            <w:right w:w="108" w:type="dxa"/>
          </w:tblCellMar>
        </w:tblPrEx>
        <w:trPr>
          <w:jc w:val="center"/>
        </w:trPr>
        <w:tc>
          <w:tcPr>
            <w:tcW w:w="2161" w:type="dxa"/>
          </w:tcPr>
          <w:p w14:paraId="7A46AD62">
            <w:pPr>
              <w:spacing w:before="40" w:after="40"/>
              <w:ind w:firstLine="0"/>
              <w:jc w:val="center"/>
            </w:pPr>
            <w:r>
              <w:rPr>
                <w:rFonts w:ascii="Times New Roman" w:hAnsi="Times New Roman" w:eastAsia="宋体" w:cs="Times New Roman"/>
                <w:color w:val="000000"/>
                <w:sz w:val="20"/>
              </w:rPr>
              <w:t>品牌形象 × 产品定价</w:t>
            </w:r>
          </w:p>
        </w:tc>
        <w:tc>
          <w:tcPr>
            <w:tcW w:w="2161" w:type="dxa"/>
          </w:tcPr>
          <w:p w14:paraId="3B196ED6">
            <w:pPr>
              <w:spacing w:before="40" w:after="40"/>
              <w:ind w:firstLine="0"/>
              <w:jc w:val="center"/>
            </w:pPr>
          </w:p>
        </w:tc>
        <w:tc>
          <w:tcPr>
            <w:tcW w:w="2161" w:type="dxa"/>
          </w:tcPr>
          <w:p w14:paraId="19996352">
            <w:pPr>
              <w:spacing w:before="40" w:after="40"/>
              <w:ind w:firstLine="0"/>
              <w:jc w:val="center"/>
            </w:pPr>
          </w:p>
        </w:tc>
        <w:tc>
          <w:tcPr>
            <w:tcW w:w="2161" w:type="dxa"/>
          </w:tcPr>
          <w:p w14:paraId="48BF53D9">
            <w:pPr>
              <w:spacing w:before="40" w:after="40"/>
              <w:ind w:firstLine="0"/>
              <w:jc w:val="center"/>
            </w:pPr>
            <w:r>
              <w:rPr>
                <w:rFonts w:ascii="Times New Roman" w:hAnsi="Times New Roman" w:eastAsia="宋体" w:cs="Times New Roman"/>
                <w:color w:val="000000"/>
                <w:sz w:val="20"/>
              </w:rPr>
              <w:t>0.32 (0.087)***</w:t>
            </w:r>
          </w:p>
        </w:tc>
      </w:tr>
      <w:tr w14:paraId="6CAE605D">
        <w:tblPrEx>
          <w:tblCellMar>
            <w:top w:w="0" w:type="dxa"/>
            <w:left w:w="108" w:type="dxa"/>
            <w:bottom w:w="0" w:type="dxa"/>
            <w:right w:w="108" w:type="dxa"/>
          </w:tblCellMar>
        </w:tblPrEx>
        <w:trPr>
          <w:jc w:val="center"/>
        </w:trPr>
        <w:tc>
          <w:tcPr>
            <w:tcW w:w="2161" w:type="dxa"/>
          </w:tcPr>
          <w:p w14:paraId="5FBB8E15">
            <w:pPr>
              <w:spacing w:before="40" w:after="40"/>
              <w:ind w:firstLine="0"/>
              <w:jc w:val="center"/>
            </w:pPr>
            <w:r>
              <w:rPr>
                <w:rFonts w:ascii="Times New Roman" w:hAnsi="Times New Roman" w:eastAsia="宋体" w:cs="Times New Roman"/>
                <w:color w:val="000000"/>
                <w:sz w:val="20"/>
              </w:rPr>
              <w:t>R²</w:t>
            </w:r>
          </w:p>
        </w:tc>
        <w:tc>
          <w:tcPr>
            <w:tcW w:w="2161" w:type="dxa"/>
          </w:tcPr>
          <w:p w14:paraId="141CA5DC">
            <w:pPr>
              <w:spacing w:before="40" w:after="40"/>
              <w:ind w:firstLine="0"/>
              <w:jc w:val="center"/>
            </w:pPr>
            <w:r>
              <w:rPr>
                <w:rFonts w:ascii="Times New Roman" w:hAnsi="Times New Roman" w:eastAsia="宋体" w:cs="Times New Roman"/>
                <w:color w:val="000000"/>
                <w:sz w:val="20"/>
              </w:rPr>
              <w:t>0.489</w:t>
            </w:r>
          </w:p>
        </w:tc>
        <w:tc>
          <w:tcPr>
            <w:tcW w:w="2161" w:type="dxa"/>
          </w:tcPr>
          <w:p w14:paraId="2F05C07C">
            <w:pPr>
              <w:spacing w:before="40" w:after="40"/>
              <w:ind w:firstLine="0"/>
              <w:jc w:val="center"/>
            </w:pPr>
            <w:r>
              <w:rPr>
                <w:rFonts w:ascii="Times New Roman" w:hAnsi="Times New Roman" w:eastAsia="宋体" w:cs="Times New Roman"/>
                <w:color w:val="000000"/>
                <w:sz w:val="20"/>
              </w:rPr>
              <w:t>0.558</w:t>
            </w:r>
          </w:p>
        </w:tc>
        <w:tc>
          <w:tcPr>
            <w:tcW w:w="2161" w:type="dxa"/>
          </w:tcPr>
          <w:p w14:paraId="3EEFE249">
            <w:pPr>
              <w:spacing w:before="40" w:after="40"/>
              <w:ind w:firstLine="0"/>
              <w:jc w:val="center"/>
            </w:pPr>
            <w:r>
              <w:rPr>
                <w:rFonts w:ascii="Times New Roman" w:hAnsi="Times New Roman" w:eastAsia="宋体" w:cs="Times New Roman"/>
                <w:color w:val="000000"/>
                <w:sz w:val="20"/>
              </w:rPr>
              <w:t>0.655</w:t>
            </w:r>
          </w:p>
        </w:tc>
      </w:tr>
      <w:tr w14:paraId="4889208B">
        <w:tblPrEx>
          <w:tblCellMar>
            <w:top w:w="0" w:type="dxa"/>
            <w:left w:w="108" w:type="dxa"/>
            <w:bottom w:w="0" w:type="dxa"/>
            <w:right w:w="108" w:type="dxa"/>
          </w:tblCellMar>
        </w:tblPrEx>
        <w:trPr>
          <w:jc w:val="center"/>
        </w:trPr>
        <w:tc>
          <w:tcPr>
            <w:tcW w:w="2161" w:type="dxa"/>
          </w:tcPr>
          <w:p w14:paraId="2BEC6F55">
            <w:pPr>
              <w:spacing w:before="40" w:after="40"/>
              <w:ind w:firstLine="0"/>
              <w:jc w:val="center"/>
            </w:pPr>
            <w:r>
              <w:rPr>
                <w:rFonts w:ascii="Times New Roman" w:hAnsi="Times New Roman" w:eastAsia="宋体" w:cs="Times New Roman"/>
                <w:color w:val="000000"/>
                <w:sz w:val="20"/>
              </w:rPr>
              <w:t>ΔR²</w:t>
            </w:r>
          </w:p>
        </w:tc>
        <w:tc>
          <w:tcPr>
            <w:tcW w:w="2161" w:type="dxa"/>
          </w:tcPr>
          <w:p w14:paraId="02164B7B">
            <w:pPr>
              <w:spacing w:before="40" w:after="40"/>
              <w:ind w:firstLine="0"/>
              <w:jc w:val="center"/>
            </w:pPr>
          </w:p>
        </w:tc>
        <w:tc>
          <w:tcPr>
            <w:tcW w:w="2161" w:type="dxa"/>
          </w:tcPr>
          <w:p w14:paraId="0F76667C">
            <w:pPr>
              <w:spacing w:before="40" w:after="40"/>
              <w:ind w:firstLine="0"/>
              <w:jc w:val="center"/>
            </w:pPr>
            <w:r>
              <w:rPr>
                <w:rFonts w:ascii="Times New Roman" w:hAnsi="Times New Roman" w:eastAsia="宋体" w:cs="Times New Roman"/>
                <w:color w:val="000000"/>
                <w:sz w:val="20"/>
              </w:rPr>
              <w:t>0.069</w:t>
            </w:r>
          </w:p>
        </w:tc>
        <w:tc>
          <w:tcPr>
            <w:tcW w:w="2161" w:type="dxa"/>
          </w:tcPr>
          <w:p w14:paraId="5886A145">
            <w:pPr>
              <w:spacing w:before="40" w:after="40"/>
              <w:ind w:firstLine="0"/>
              <w:jc w:val="center"/>
            </w:pPr>
            <w:r>
              <w:rPr>
                <w:rFonts w:ascii="Times New Roman" w:hAnsi="Times New Roman" w:eastAsia="宋体" w:cs="Times New Roman"/>
                <w:color w:val="000000"/>
                <w:sz w:val="20"/>
              </w:rPr>
              <w:t>0.097</w:t>
            </w:r>
          </w:p>
        </w:tc>
      </w:tr>
      <w:tr w14:paraId="2854E6C4">
        <w:tblPrEx>
          <w:tblCellMar>
            <w:top w:w="0" w:type="dxa"/>
            <w:left w:w="108" w:type="dxa"/>
            <w:bottom w:w="0" w:type="dxa"/>
            <w:right w:w="108" w:type="dxa"/>
          </w:tblCellMar>
        </w:tblPrEx>
        <w:trPr>
          <w:jc w:val="center"/>
        </w:trPr>
        <w:tc>
          <w:tcPr>
            <w:tcW w:w="2161" w:type="dxa"/>
            <w:tcBorders>
              <w:bottom w:val="single" w:color="000000" w:sz="12" w:space="0"/>
            </w:tcBorders>
          </w:tcPr>
          <w:p w14:paraId="39128B38">
            <w:pPr>
              <w:spacing w:before="40" w:after="40"/>
              <w:ind w:firstLine="0"/>
              <w:jc w:val="center"/>
            </w:pPr>
            <w:r>
              <w:rPr>
                <w:rFonts w:ascii="Times New Roman" w:hAnsi="Times New Roman" w:eastAsia="宋体" w:cs="Times New Roman"/>
                <w:color w:val="000000"/>
                <w:sz w:val="20"/>
              </w:rPr>
              <w:t>F</w:t>
            </w:r>
          </w:p>
        </w:tc>
        <w:tc>
          <w:tcPr>
            <w:tcW w:w="2161" w:type="dxa"/>
            <w:tcBorders>
              <w:bottom w:val="single" w:color="000000" w:sz="12" w:space="0"/>
            </w:tcBorders>
          </w:tcPr>
          <w:p w14:paraId="32F5169E">
            <w:pPr>
              <w:spacing w:before="40" w:after="40"/>
              <w:ind w:firstLine="0"/>
              <w:jc w:val="center"/>
            </w:pPr>
            <w:r>
              <w:rPr>
                <w:rFonts w:ascii="Times New Roman" w:hAnsi="Times New Roman" w:eastAsia="宋体" w:cs="Times New Roman"/>
                <w:color w:val="000000"/>
                <w:sz w:val="20"/>
              </w:rPr>
              <w:t>48.75***</w:t>
            </w:r>
          </w:p>
        </w:tc>
        <w:tc>
          <w:tcPr>
            <w:tcW w:w="2161" w:type="dxa"/>
            <w:tcBorders>
              <w:bottom w:val="single" w:color="000000" w:sz="12" w:space="0"/>
            </w:tcBorders>
          </w:tcPr>
          <w:p w14:paraId="776F0AE8">
            <w:pPr>
              <w:spacing w:before="40" w:after="40"/>
              <w:ind w:firstLine="0"/>
              <w:jc w:val="center"/>
            </w:pPr>
            <w:r>
              <w:rPr>
                <w:rFonts w:ascii="Times New Roman" w:hAnsi="Times New Roman" w:eastAsia="宋体" w:cs="Times New Roman"/>
                <w:color w:val="000000"/>
                <w:sz w:val="20"/>
              </w:rPr>
              <w:t>31.61***</w:t>
            </w:r>
          </w:p>
        </w:tc>
        <w:tc>
          <w:tcPr>
            <w:tcW w:w="2161" w:type="dxa"/>
            <w:tcBorders>
              <w:bottom w:val="single" w:color="000000" w:sz="12" w:space="0"/>
            </w:tcBorders>
          </w:tcPr>
          <w:p w14:paraId="43FB89DD">
            <w:pPr>
              <w:spacing w:before="40" w:after="40"/>
              <w:ind w:firstLine="0"/>
              <w:jc w:val="center"/>
            </w:pPr>
            <w:r>
              <w:rPr>
                <w:rFonts w:ascii="Times New Roman" w:hAnsi="Times New Roman" w:eastAsia="宋体" w:cs="Times New Roman"/>
                <w:color w:val="000000"/>
                <w:sz w:val="20"/>
              </w:rPr>
              <w:t>30.954***</w:t>
            </w:r>
          </w:p>
        </w:tc>
      </w:tr>
    </w:tbl>
    <w:p w14:paraId="691E7DCC">
      <w:r>
        <w:rPr>
          <w:rFonts w:ascii="Times New Roman" w:hAnsi="Times New Roman" w:eastAsia="宋体" w:cs="Times New Roman"/>
          <w:color w:val="000000"/>
        </w:rPr>
        <w:t>注：表中报告为非标准化回归系数，括号内为标准误。*p &lt;.05, **p &lt;.01, ***p &lt;.001。</w:t>
      </w:r>
    </w:p>
    <w:p w14:paraId="76F29DAE">
      <w:r>
        <w:rPr>
          <w:rFonts w:ascii="Times New Roman" w:hAnsi="Times New Roman" w:eastAsia="宋体" w:cs="Times New Roman"/>
          <w:color w:val="000000"/>
        </w:rPr>
        <w:t>其次，以产品质量为因变量进行回归分析（模型 4），同时纳入品牌形象和情绪价值作为预测变量。结果如表 2 所示，情绪价值对产品质量有显著的正向影响（β = 0.337, p &lt;.01），而品牌形象的直接效应不显著（β = 0.217, p = ns）。该模型整体显著（R² = 0.483, F = 23.341, p &lt;.001）。</w:t>
      </w:r>
    </w:p>
    <w:p w14:paraId="14AC47A5">
      <w:r>
        <w:rPr>
          <w:rFonts w:ascii="Times New Roman" w:hAnsi="Times New Roman" w:eastAsia="宋体" w:cs="Times New Roman"/>
          <w:color w:val="000000"/>
        </w:rPr>
        <w:t>表 2 产品质量的回归分析结果 (N=53)</w:t>
      </w:r>
    </w:p>
    <w:tbl>
      <w:tblPr>
        <w:tblStyle w:val="32"/>
        <w:tblW w:w="0" w:type="auto"/>
        <w:jc w:val="center"/>
        <w:tblLayout w:type="autofit"/>
        <w:tblCellMar>
          <w:top w:w="0" w:type="dxa"/>
          <w:left w:w="108" w:type="dxa"/>
          <w:bottom w:w="0" w:type="dxa"/>
          <w:right w:w="108" w:type="dxa"/>
        </w:tblCellMar>
      </w:tblPr>
      <w:tblGrid>
        <w:gridCol w:w="4323"/>
        <w:gridCol w:w="4323"/>
      </w:tblGrid>
      <w:tr w14:paraId="09734617">
        <w:tblPrEx>
          <w:tblCellMar>
            <w:top w:w="0" w:type="dxa"/>
            <w:left w:w="108" w:type="dxa"/>
            <w:bottom w:w="0" w:type="dxa"/>
            <w:right w:w="108" w:type="dxa"/>
          </w:tblCellMar>
        </w:tblPrEx>
        <w:trPr>
          <w:jc w:val="center"/>
        </w:trPr>
        <w:tc>
          <w:tcPr>
            <w:tcW w:w="4323" w:type="dxa"/>
            <w:tcBorders>
              <w:top w:val="single" w:color="000000" w:sz="12" w:space="0"/>
              <w:bottom w:val="single" w:color="000000" w:sz="4" w:space="0"/>
            </w:tcBorders>
          </w:tcPr>
          <w:p w14:paraId="4B0C529C">
            <w:pPr>
              <w:spacing w:before="40" w:after="40"/>
              <w:ind w:firstLine="0"/>
              <w:jc w:val="center"/>
            </w:pPr>
            <w:r>
              <w:rPr>
                <w:rFonts w:ascii="Times New Roman" w:hAnsi="Times New Roman" w:eastAsia="宋体" w:cs="Times New Roman"/>
                <w:b/>
                <w:color w:val="000000"/>
                <w:sz w:val="20"/>
              </w:rPr>
              <w:t>预测变量</w:t>
            </w:r>
          </w:p>
        </w:tc>
        <w:tc>
          <w:tcPr>
            <w:tcW w:w="4323" w:type="dxa"/>
            <w:tcBorders>
              <w:top w:val="single" w:color="000000" w:sz="12" w:space="0"/>
              <w:bottom w:val="single" w:color="000000" w:sz="4" w:space="0"/>
            </w:tcBorders>
          </w:tcPr>
          <w:p w14:paraId="63A8F970">
            <w:pPr>
              <w:spacing w:before="40" w:after="40"/>
              <w:ind w:firstLine="0"/>
              <w:jc w:val="center"/>
            </w:pPr>
            <w:r>
              <w:rPr>
                <w:rFonts w:ascii="Times New Roman" w:hAnsi="Times New Roman" w:eastAsia="宋体" w:cs="Times New Roman"/>
                <w:b/>
                <w:color w:val="000000"/>
                <w:sz w:val="20"/>
              </w:rPr>
              <w:t>模型 4</w:t>
            </w:r>
          </w:p>
        </w:tc>
      </w:tr>
      <w:tr w14:paraId="1F0A3430">
        <w:tblPrEx>
          <w:tblCellMar>
            <w:top w:w="0" w:type="dxa"/>
            <w:left w:w="108" w:type="dxa"/>
            <w:bottom w:w="0" w:type="dxa"/>
            <w:right w:w="108" w:type="dxa"/>
          </w:tblCellMar>
        </w:tblPrEx>
        <w:trPr>
          <w:jc w:val="center"/>
        </w:trPr>
        <w:tc>
          <w:tcPr>
            <w:tcW w:w="4323" w:type="dxa"/>
          </w:tcPr>
          <w:p w14:paraId="56B94646">
            <w:pPr>
              <w:spacing w:before="40" w:after="40"/>
              <w:ind w:firstLine="0"/>
              <w:jc w:val="center"/>
            </w:pPr>
            <w:r>
              <w:rPr>
                <w:rFonts w:ascii="Times New Roman" w:hAnsi="Times New Roman" w:eastAsia="宋体" w:cs="Times New Roman"/>
                <w:color w:val="000000"/>
                <w:sz w:val="20"/>
              </w:rPr>
              <w:t>常数项</w:t>
            </w:r>
          </w:p>
        </w:tc>
        <w:tc>
          <w:tcPr>
            <w:tcW w:w="4323" w:type="dxa"/>
          </w:tcPr>
          <w:p w14:paraId="724E48F7">
            <w:pPr>
              <w:spacing w:before="40" w:after="40"/>
              <w:ind w:firstLine="0"/>
              <w:jc w:val="center"/>
            </w:pPr>
            <w:r>
              <w:rPr>
                <w:rFonts w:ascii="Times New Roman" w:hAnsi="Times New Roman" w:eastAsia="宋体" w:cs="Times New Roman"/>
                <w:color w:val="000000"/>
                <w:sz w:val="20"/>
              </w:rPr>
              <w:t>5.311 (0.084)***</w:t>
            </w:r>
          </w:p>
        </w:tc>
      </w:tr>
      <w:tr w14:paraId="29768D49">
        <w:trPr>
          <w:jc w:val="center"/>
        </w:trPr>
        <w:tc>
          <w:tcPr>
            <w:tcW w:w="4323" w:type="dxa"/>
          </w:tcPr>
          <w:p w14:paraId="40739591">
            <w:pPr>
              <w:spacing w:before="40" w:after="40"/>
              <w:ind w:firstLine="0"/>
              <w:jc w:val="center"/>
            </w:pPr>
            <w:r>
              <w:rPr>
                <w:rFonts w:ascii="Times New Roman" w:hAnsi="Times New Roman" w:eastAsia="宋体" w:cs="Times New Roman"/>
                <w:color w:val="000000"/>
                <w:sz w:val="20"/>
              </w:rPr>
              <w:t>品牌形象</w:t>
            </w:r>
          </w:p>
        </w:tc>
        <w:tc>
          <w:tcPr>
            <w:tcW w:w="4323" w:type="dxa"/>
          </w:tcPr>
          <w:p w14:paraId="270332CA">
            <w:pPr>
              <w:spacing w:before="40" w:after="40"/>
              <w:ind w:firstLine="0"/>
              <w:jc w:val="center"/>
            </w:pPr>
            <w:r>
              <w:rPr>
                <w:rFonts w:ascii="Times New Roman" w:hAnsi="Times New Roman" w:eastAsia="宋体" w:cs="Times New Roman"/>
                <w:color w:val="000000"/>
                <w:sz w:val="20"/>
              </w:rPr>
              <w:t>0.217 (0.111)</w:t>
            </w:r>
          </w:p>
        </w:tc>
      </w:tr>
      <w:tr w14:paraId="2F636686">
        <w:tblPrEx>
          <w:tblCellMar>
            <w:top w:w="0" w:type="dxa"/>
            <w:left w:w="108" w:type="dxa"/>
            <w:bottom w:w="0" w:type="dxa"/>
            <w:right w:w="108" w:type="dxa"/>
          </w:tblCellMar>
        </w:tblPrEx>
        <w:trPr>
          <w:jc w:val="center"/>
        </w:trPr>
        <w:tc>
          <w:tcPr>
            <w:tcW w:w="4323" w:type="dxa"/>
          </w:tcPr>
          <w:p w14:paraId="043DFAEE">
            <w:pPr>
              <w:spacing w:before="40" w:after="40"/>
              <w:ind w:firstLine="0"/>
              <w:jc w:val="center"/>
            </w:pPr>
            <w:r>
              <w:rPr>
                <w:rFonts w:ascii="Times New Roman" w:hAnsi="Times New Roman" w:eastAsia="宋体" w:cs="Times New Roman"/>
                <w:color w:val="000000"/>
                <w:sz w:val="20"/>
              </w:rPr>
              <w:t>情绪价值</w:t>
            </w:r>
          </w:p>
        </w:tc>
        <w:tc>
          <w:tcPr>
            <w:tcW w:w="4323" w:type="dxa"/>
          </w:tcPr>
          <w:p w14:paraId="5F2EFB3B">
            <w:pPr>
              <w:spacing w:before="40" w:after="40"/>
              <w:ind w:firstLine="0"/>
              <w:jc w:val="center"/>
            </w:pPr>
            <w:r>
              <w:rPr>
                <w:rFonts w:ascii="Times New Roman" w:hAnsi="Times New Roman" w:eastAsia="宋体" w:cs="Times New Roman"/>
                <w:color w:val="000000"/>
                <w:sz w:val="20"/>
              </w:rPr>
              <w:t>0.337 (0.102)**</w:t>
            </w:r>
          </w:p>
        </w:tc>
      </w:tr>
      <w:tr w14:paraId="7B5B4D30">
        <w:tblPrEx>
          <w:tblCellMar>
            <w:top w:w="0" w:type="dxa"/>
            <w:left w:w="108" w:type="dxa"/>
            <w:bottom w:w="0" w:type="dxa"/>
            <w:right w:w="108" w:type="dxa"/>
          </w:tblCellMar>
        </w:tblPrEx>
        <w:trPr>
          <w:jc w:val="center"/>
        </w:trPr>
        <w:tc>
          <w:tcPr>
            <w:tcW w:w="4323" w:type="dxa"/>
          </w:tcPr>
          <w:p w14:paraId="4BD42D28">
            <w:pPr>
              <w:spacing w:before="40" w:after="40"/>
              <w:ind w:firstLine="0"/>
              <w:jc w:val="center"/>
            </w:pPr>
            <w:r>
              <w:rPr>
                <w:rFonts w:ascii="Times New Roman" w:hAnsi="Times New Roman" w:eastAsia="宋体" w:cs="Times New Roman"/>
                <w:color w:val="000000"/>
                <w:sz w:val="20"/>
              </w:rPr>
              <w:t>R²</w:t>
            </w:r>
          </w:p>
        </w:tc>
        <w:tc>
          <w:tcPr>
            <w:tcW w:w="4323" w:type="dxa"/>
          </w:tcPr>
          <w:p w14:paraId="372141D6">
            <w:pPr>
              <w:spacing w:before="40" w:after="40"/>
              <w:ind w:firstLine="0"/>
              <w:jc w:val="center"/>
            </w:pPr>
            <w:r>
              <w:rPr>
                <w:rFonts w:ascii="Times New Roman" w:hAnsi="Times New Roman" w:eastAsia="宋体" w:cs="Times New Roman"/>
                <w:color w:val="000000"/>
                <w:sz w:val="20"/>
              </w:rPr>
              <w:t>0.483</w:t>
            </w:r>
          </w:p>
        </w:tc>
      </w:tr>
      <w:tr w14:paraId="5164DCD8">
        <w:tblPrEx>
          <w:tblCellMar>
            <w:top w:w="0" w:type="dxa"/>
            <w:left w:w="108" w:type="dxa"/>
            <w:bottom w:w="0" w:type="dxa"/>
            <w:right w:w="108" w:type="dxa"/>
          </w:tblCellMar>
        </w:tblPrEx>
        <w:trPr>
          <w:jc w:val="center"/>
        </w:trPr>
        <w:tc>
          <w:tcPr>
            <w:tcW w:w="4323" w:type="dxa"/>
            <w:tcBorders>
              <w:bottom w:val="single" w:color="000000" w:sz="12" w:space="0"/>
            </w:tcBorders>
          </w:tcPr>
          <w:p w14:paraId="33731028">
            <w:pPr>
              <w:spacing w:before="40" w:after="40"/>
              <w:ind w:firstLine="0"/>
              <w:jc w:val="center"/>
            </w:pPr>
            <w:r>
              <w:rPr>
                <w:rFonts w:ascii="Times New Roman" w:hAnsi="Times New Roman" w:eastAsia="宋体" w:cs="Times New Roman"/>
                <w:color w:val="000000"/>
                <w:sz w:val="20"/>
              </w:rPr>
              <w:t>F</w:t>
            </w:r>
          </w:p>
        </w:tc>
        <w:tc>
          <w:tcPr>
            <w:tcW w:w="4323" w:type="dxa"/>
            <w:tcBorders>
              <w:bottom w:val="single" w:color="000000" w:sz="12" w:space="0"/>
            </w:tcBorders>
          </w:tcPr>
          <w:p w14:paraId="0CC3C7F4">
            <w:pPr>
              <w:spacing w:before="40" w:after="40"/>
              <w:ind w:firstLine="0"/>
              <w:jc w:val="center"/>
            </w:pPr>
            <w:r>
              <w:rPr>
                <w:rFonts w:ascii="Times New Roman" w:hAnsi="Times New Roman" w:eastAsia="宋体" w:cs="Times New Roman"/>
                <w:color w:val="000000"/>
                <w:sz w:val="20"/>
              </w:rPr>
              <w:t>23.341***</w:t>
            </w:r>
          </w:p>
        </w:tc>
      </w:tr>
    </w:tbl>
    <w:p w14:paraId="56F3BF25">
      <w:r>
        <w:rPr>
          <w:rFonts w:ascii="Times New Roman" w:hAnsi="Times New Roman" w:eastAsia="宋体" w:cs="Times New Roman"/>
          <w:color w:val="000000"/>
        </w:rPr>
        <w:t>注：表中报告为非标准化回归系数，括号内为标准误。*p &lt;.05, **p &lt;.01, ***p &lt;.001。</w:t>
      </w:r>
    </w:p>
    <w:p w14:paraId="3090DDC3">
      <w:pPr>
        <w:pStyle w:val="6"/>
      </w:pPr>
      <w:r>
        <w:rPr>
          <w:rFonts w:ascii="Times New Roman" w:hAnsi="Times New Roman" w:eastAsia="黑体" w:cs="Times New Roman"/>
          <w:i w:val="0"/>
          <w:color w:val="000000"/>
        </w:rPr>
        <w:t>2. 有调节的中介效应分析</w:t>
      </w:r>
    </w:p>
    <w:p w14:paraId="2D4BBE85">
      <w:r>
        <w:rPr>
          <w:rFonts w:ascii="Times New Roman" w:hAnsi="Times New Roman" w:eastAsia="宋体" w:cs="Times New Roman"/>
          <w:color w:val="000000"/>
        </w:rPr>
        <w:t>为进一步检验产品定价的调节作用以及情绪价值的中介作用，本研究采用 Hayes (2013) 的 Process Macro 模型 7（有调节的中介模型）进行 Bootstrap 分析（重复抽样 5000 次）。分析结果如表 3 所示。</w:t>
      </w:r>
    </w:p>
    <w:p w14:paraId="692E2054">
      <w:r>
        <w:rPr>
          <w:rFonts w:ascii="Times New Roman" w:hAnsi="Times New Roman" w:eastAsia="宋体" w:cs="Times New Roman"/>
          <w:color w:val="000000"/>
        </w:rPr>
        <w:t>表 3 有调节的中介效应分析结果</w:t>
      </w:r>
    </w:p>
    <w:tbl>
      <w:tblPr>
        <w:tblStyle w:val="32"/>
        <w:tblW w:w="0" w:type="auto"/>
        <w:jc w:val="center"/>
        <w:tblLayout w:type="autofit"/>
        <w:tblCellMar>
          <w:top w:w="0" w:type="dxa"/>
          <w:left w:w="108" w:type="dxa"/>
          <w:bottom w:w="0" w:type="dxa"/>
          <w:right w:w="108" w:type="dxa"/>
        </w:tblCellMar>
      </w:tblPr>
      <w:tblGrid>
        <w:gridCol w:w="1729"/>
        <w:gridCol w:w="1729"/>
        <w:gridCol w:w="1729"/>
        <w:gridCol w:w="1729"/>
        <w:gridCol w:w="1729"/>
      </w:tblGrid>
      <w:tr w14:paraId="07FDC971">
        <w:tblPrEx>
          <w:tblCellMar>
            <w:top w:w="0" w:type="dxa"/>
            <w:left w:w="108" w:type="dxa"/>
            <w:bottom w:w="0" w:type="dxa"/>
            <w:right w:w="108" w:type="dxa"/>
          </w:tblCellMar>
        </w:tblPrEx>
        <w:trPr>
          <w:jc w:val="center"/>
        </w:trPr>
        <w:tc>
          <w:tcPr>
            <w:tcW w:w="1729" w:type="dxa"/>
            <w:tcBorders>
              <w:top w:val="single" w:color="000000" w:sz="12" w:space="0"/>
              <w:bottom w:val="single" w:color="000000" w:sz="4" w:space="0"/>
            </w:tcBorders>
          </w:tcPr>
          <w:p w14:paraId="136507D0">
            <w:pPr>
              <w:spacing w:before="40" w:after="40"/>
              <w:ind w:firstLine="0"/>
              <w:jc w:val="center"/>
            </w:pPr>
            <w:r>
              <w:rPr>
                <w:rFonts w:ascii="Times New Roman" w:hAnsi="Times New Roman" w:eastAsia="宋体" w:cs="Times New Roman"/>
                <w:b/>
                <w:color w:val="000000"/>
                <w:sz w:val="20"/>
              </w:rPr>
              <w:t>调节变量水平</w:t>
            </w:r>
          </w:p>
        </w:tc>
        <w:tc>
          <w:tcPr>
            <w:tcW w:w="1729" w:type="dxa"/>
            <w:tcBorders>
              <w:top w:val="single" w:color="000000" w:sz="12" w:space="0"/>
              <w:bottom w:val="single" w:color="000000" w:sz="4" w:space="0"/>
            </w:tcBorders>
          </w:tcPr>
          <w:p w14:paraId="4011B235">
            <w:pPr>
              <w:spacing w:before="40" w:after="40"/>
              <w:ind w:firstLine="0"/>
              <w:jc w:val="center"/>
            </w:pPr>
            <w:r>
              <w:rPr>
                <w:rFonts w:ascii="Times New Roman" w:hAnsi="Times New Roman" w:eastAsia="宋体" w:cs="Times New Roman"/>
                <w:b/>
                <w:color w:val="000000"/>
                <w:sz w:val="20"/>
              </w:rPr>
              <w:t>调节变量值</w:t>
            </w:r>
          </w:p>
        </w:tc>
        <w:tc>
          <w:tcPr>
            <w:tcW w:w="1729" w:type="dxa"/>
            <w:tcBorders>
              <w:top w:val="single" w:color="000000" w:sz="12" w:space="0"/>
              <w:bottom w:val="single" w:color="000000" w:sz="4" w:space="0"/>
            </w:tcBorders>
          </w:tcPr>
          <w:p w14:paraId="55C63CF0">
            <w:pPr>
              <w:spacing w:before="40" w:after="40"/>
              <w:ind w:firstLine="0"/>
              <w:jc w:val="center"/>
            </w:pPr>
            <w:r>
              <w:rPr>
                <w:rFonts w:ascii="Times New Roman" w:hAnsi="Times New Roman" w:eastAsia="宋体" w:cs="Times New Roman"/>
                <w:b/>
                <w:color w:val="000000"/>
                <w:sz w:val="20"/>
              </w:rPr>
              <w:t>间接效应值</w:t>
            </w:r>
          </w:p>
        </w:tc>
        <w:tc>
          <w:tcPr>
            <w:tcW w:w="1729" w:type="dxa"/>
            <w:tcBorders>
              <w:top w:val="single" w:color="000000" w:sz="12" w:space="0"/>
              <w:bottom w:val="single" w:color="000000" w:sz="4" w:space="0"/>
            </w:tcBorders>
          </w:tcPr>
          <w:p w14:paraId="54EC8273">
            <w:pPr>
              <w:spacing w:before="40" w:after="40"/>
              <w:ind w:firstLine="0"/>
              <w:jc w:val="center"/>
            </w:pPr>
            <w:r>
              <w:rPr>
                <w:rFonts w:ascii="Times New Roman" w:hAnsi="Times New Roman" w:eastAsia="宋体" w:cs="Times New Roman"/>
                <w:b/>
                <w:color w:val="000000"/>
                <w:sz w:val="20"/>
              </w:rPr>
              <w:t>Bootstrap 95% CI</w:t>
            </w:r>
          </w:p>
        </w:tc>
        <w:tc>
          <w:tcPr>
            <w:tcW w:w="1729" w:type="dxa"/>
            <w:tcBorders>
              <w:top w:val="single" w:color="000000" w:sz="12" w:space="0"/>
              <w:bottom w:val="single" w:color="000000" w:sz="4" w:space="0"/>
            </w:tcBorders>
          </w:tcPr>
          <w:p w14:paraId="6E969323">
            <w:pPr>
              <w:spacing w:before="40" w:after="40"/>
              <w:ind w:firstLine="0"/>
              <w:jc w:val="center"/>
            </w:pPr>
            <w:r>
              <w:rPr>
                <w:rFonts w:ascii="Times New Roman" w:hAnsi="Times New Roman" w:eastAsia="宋体" w:cs="Times New Roman"/>
                <w:b/>
                <w:color w:val="000000"/>
                <w:sz w:val="20"/>
              </w:rPr>
              <w:t>是否显著</w:t>
            </w:r>
          </w:p>
        </w:tc>
      </w:tr>
      <w:tr w14:paraId="6CB0ED31">
        <w:tblPrEx>
          <w:tblCellMar>
            <w:top w:w="0" w:type="dxa"/>
            <w:left w:w="108" w:type="dxa"/>
            <w:bottom w:w="0" w:type="dxa"/>
            <w:right w:w="108" w:type="dxa"/>
          </w:tblCellMar>
        </w:tblPrEx>
        <w:trPr>
          <w:jc w:val="center"/>
        </w:trPr>
        <w:tc>
          <w:tcPr>
            <w:tcW w:w="1729" w:type="dxa"/>
          </w:tcPr>
          <w:p w14:paraId="39B24576">
            <w:pPr>
              <w:spacing w:before="40" w:after="40"/>
              <w:ind w:firstLine="0"/>
              <w:jc w:val="center"/>
            </w:pPr>
            <w:r>
              <w:rPr>
                <w:rFonts w:ascii="Times New Roman" w:hAnsi="Times New Roman" w:eastAsia="宋体" w:cs="Times New Roman"/>
                <w:color w:val="000000"/>
                <w:sz w:val="20"/>
              </w:rPr>
              <w:t>低 (-1 SD)</w:t>
            </w:r>
          </w:p>
        </w:tc>
        <w:tc>
          <w:tcPr>
            <w:tcW w:w="1729" w:type="dxa"/>
          </w:tcPr>
          <w:p w14:paraId="5084ABFD">
            <w:pPr>
              <w:spacing w:before="40" w:after="40"/>
              <w:ind w:firstLine="0"/>
              <w:jc w:val="center"/>
            </w:pPr>
            <w:r>
              <w:rPr>
                <w:rFonts w:ascii="Times New Roman" w:hAnsi="Times New Roman" w:eastAsia="宋体" w:cs="Times New Roman"/>
                <w:color w:val="000000"/>
                <w:sz w:val="20"/>
              </w:rPr>
              <w:t>4.544</w:t>
            </w:r>
          </w:p>
        </w:tc>
        <w:tc>
          <w:tcPr>
            <w:tcW w:w="1729" w:type="dxa"/>
          </w:tcPr>
          <w:p w14:paraId="5DD2A238">
            <w:pPr>
              <w:spacing w:before="40" w:after="40"/>
              <w:ind w:firstLine="0"/>
              <w:jc w:val="center"/>
            </w:pPr>
            <w:r>
              <w:rPr>
                <w:rFonts w:ascii="Times New Roman" w:hAnsi="Times New Roman" w:eastAsia="宋体" w:cs="Times New Roman"/>
                <w:color w:val="000000"/>
                <w:sz w:val="20"/>
              </w:rPr>
              <w:t>0.075</w:t>
            </w:r>
          </w:p>
        </w:tc>
        <w:tc>
          <w:tcPr>
            <w:tcW w:w="1729" w:type="dxa"/>
          </w:tcPr>
          <w:p w14:paraId="5CF4F702">
            <w:pPr>
              <w:spacing w:before="40" w:after="40"/>
              <w:ind w:firstLine="0"/>
              <w:jc w:val="center"/>
            </w:pPr>
            <w:r>
              <w:rPr>
                <w:rFonts w:ascii="Times New Roman" w:hAnsi="Times New Roman" w:eastAsia="宋体" w:cs="Times New Roman"/>
                <w:color w:val="000000"/>
                <w:sz w:val="20"/>
              </w:rPr>
              <w:t>[-0.012, 0.213]</w:t>
            </w:r>
          </w:p>
        </w:tc>
        <w:tc>
          <w:tcPr>
            <w:tcW w:w="1729" w:type="dxa"/>
          </w:tcPr>
          <w:p w14:paraId="1CD1EBE0">
            <w:pPr>
              <w:spacing w:before="40" w:after="40"/>
              <w:ind w:firstLine="0"/>
              <w:jc w:val="center"/>
            </w:pPr>
            <w:r>
              <w:rPr>
                <w:rFonts w:ascii="Times New Roman" w:hAnsi="Times New Roman" w:eastAsia="宋体" w:cs="Times New Roman"/>
                <w:color w:val="000000"/>
                <w:sz w:val="20"/>
              </w:rPr>
              <w:t>否</w:t>
            </w:r>
          </w:p>
        </w:tc>
      </w:tr>
      <w:tr w14:paraId="61787A9C">
        <w:tblPrEx>
          <w:tblCellMar>
            <w:top w:w="0" w:type="dxa"/>
            <w:left w:w="108" w:type="dxa"/>
            <w:bottom w:w="0" w:type="dxa"/>
            <w:right w:w="108" w:type="dxa"/>
          </w:tblCellMar>
        </w:tblPrEx>
        <w:trPr>
          <w:jc w:val="center"/>
        </w:trPr>
        <w:tc>
          <w:tcPr>
            <w:tcW w:w="1729" w:type="dxa"/>
          </w:tcPr>
          <w:p w14:paraId="7BA85FFC">
            <w:pPr>
              <w:spacing w:before="40" w:after="40"/>
              <w:ind w:firstLine="0"/>
              <w:jc w:val="center"/>
            </w:pPr>
            <w:r>
              <w:rPr>
                <w:rFonts w:ascii="Times New Roman" w:hAnsi="Times New Roman" w:eastAsia="宋体" w:cs="Times New Roman"/>
                <w:color w:val="000000"/>
                <w:sz w:val="20"/>
              </w:rPr>
              <w:t>中 (Mean)</w:t>
            </w:r>
          </w:p>
        </w:tc>
        <w:tc>
          <w:tcPr>
            <w:tcW w:w="1729" w:type="dxa"/>
          </w:tcPr>
          <w:p w14:paraId="78317AE5">
            <w:pPr>
              <w:spacing w:before="40" w:after="40"/>
              <w:ind w:firstLine="0"/>
              <w:jc w:val="center"/>
            </w:pPr>
            <w:r>
              <w:rPr>
                <w:rFonts w:ascii="Times New Roman" w:hAnsi="Times New Roman" w:eastAsia="宋体" w:cs="Times New Roman"/>
                <w:color w:val="000000"/>
                <w:sz w:val="20"/>
              </w:rPr>
              <w:t>5.656</w:t>
            </w:r>
          </w:p>
        </w:tc>
        <w:tc>
          <w:tcPr>
            <w:tcW w:w="1729" w:type="dxa"/>
          </w:tcPr>
          <w:p w14:paraId="45FA128C">
            <w:pPr>
              <w:spacing w:before="40" w:after="40"/>
              <w:ind w:firstLine="0"/>
              <w:jc w:val="center"/>
            </w:pPr>
            <w:r>
              <w:rPr>
                <w:rFonts w:ascii="Times New Roman" w:hAnsi="Times New Roman" w:eastAsia="宋体" w:cs="Times New Roman"/>
                <w:color w:val="000000"/>
                <w:sz w:val="20"/>
              </w:rPr>
              <w:t>0.195</w:t>
            </w:r>
          </w:p>
        </w:tc>
        <w:tc>
          <w:tcPr>
            <w:tcW w:w="1729" w:type="dxa"/>
          </w:tcPr>
          <w:p w14:paraId="628EBDA1">
            <w:pPr>
              <w:spacing w:before="40" w:after="40"/>
              <w:ind w:firstLine="0"/>
              <w:jc w:val="center"/>
            </w:pPr>
            <w:r>
              <w:rPr>
                <w:rFonts w:ascii="Times New Roman" w:hAnsi="Times New Roman" w:eastAsia="宋体" w:cs="Times New Roman"/>
                <w:color w:val="000000"/>
                <w:sz w:val="20"/>
              </w:rPr>
              <w:t>[0.068, 0.38]</w:t>
            </w:r>
          </w:p>
        </w:tc>
        <w:tc>
          <w:tcPr>
            <w:tcW w:w="1729" w:type="dxa"/>
          </w:tcPr>
          <w:p w14:paraId="4EA26331">
            <w:pPr>
              <w:spacing w:before="40" w:after="40"/>
              <w:ind w:firstLine="0"/>
              <w:jc w:val="center"/>
            </w:pPr>
            <w:r>
              <w:rPr>
                <w:rFonts w:ascii="Times New Roman" w:hAnsi="Times New Roman" w:eastAsia="宋体" w:cs="Times New Roman"/>
                <w:color w:val="000000"/>
                <w:sz w:val="20"/>
              </w:rPr>
              <w:t>是</w:t>
            </w:r>
          </w:p>
        </w:tc>
      </w:tr>
      <w:tr w14:paraId="1EA38E9C">
        <w:tblPrEx>
          <w:tblCellMar>
            <w:top w:w="0" w:type="dxa"/>
            <w:left w:w="108" w:type="dxa"/>
            <w:bottom w:w="0" w:type="dxa"/>
            <w:right w:w="108" w:type="dxa"/>
          </w:tblCellMar>
        </w:tblPrEx>
        <w:trPr>
          <w:jc w:val="center"/>
        </w:trPr>
        <w:tc>
          <w:tcPr>
            <w:tcW w:w="1729" w:type="dxa"/>
            <w:tcBorders>
              <w:bottom w:val="single" w:color="000000" w:sz="12" w:space="0"/>
            </w:tcBorders>
          </w:tcPr>
          <w:p w14:paraId="723090C9">
            <w:pPr>
              <w:spacing w:before="40" w:after="40"/>
              <w:ind w:firstLine="0"/>
              <w:jc w:val="center"/>
            </w:pPr>
            <w:r>
              <w:rPr>
                <w:rFonts w:ascii="Times New Roman" w:hAnsi="Times New Roman" w:eastAsia="宋体" w:cs="Times New Roman"/>
                <w:color w:val="000000"/>
                <w:sz w:val="20"/>
              </w:rPr>
              <w:t>高 (+1 SD)</w:t>
            </w:r>
          </w:p>
        </w:tc>
        <w:tc>
          <w:tcPr>
            <w:tcW w:w="1729" w:type="dxa"/>
            <w:tcBorders>
              <w:bottom w:val="single" w:color="000000" w:sz="12" w:space="0"/>
            </w:tcBorders>
          </w:tcPr>
          <w:p w14:paraId="535CDCDB">
            <w:pPr>
              <w:spacing w:before="40" w:after="40"/>
              <w:ind w:firstLine="0"/>
              <w:jc w:val="center"/>
            </w:pPr>
            <w:r>
              <w:rPr>
                <w:rFonts w:ascii="Times New Roman" w:hAnsi="Times New Roman" w:eastAsia="宋体" w:cs="Times New Roman"/>
                <w:color w:val="000000"/>
                <w:sz w:val="20"/>
              </w:rPr>
              <w:t>6.767</w:t>
            </w:r>
          </w:p>
        </w:tc>
        <w:tc>
          <w:tcPr>
            <w:tcW w:w="1729" w:type="dxa"/>
            <w:tcBorders>
              <w:bottom w:val="single" w:color="000000" w:sz="12" w:space="0"/>
            </w:tcBorders>
          </w:tcPr>
          <w:p w14:paraId="56BC68AF">
            <w:pPr>
              <w:spacing w:before="40" w:after="40"/>
              <w:ind w:firstLine="0"/>
              <w:jc w:val="center"/>
            </w:pPr>
            <w:r>
              <w:rPr>
                <w:rFonts w:ascii="Times New Roman" w:hAnsi="Times New Roman" w:eastAsia="宋体" w:cs="Times New Roman"/>
                <w:color w:val="000000"/>
                <w:sz w:val="20"/>
              </w:rPr>
              <w:t>0.315</w:t>
            </w:r>
          </w:p>
        </w:tc>
        <w:tc>
          <w:tcPr>
            <w:tcW w:w="1729" w:type="dxa"/>
            <w:tcBorders>
              <w:bottom w:val="single" w:color="000000" w:sz="12" w:space="0"/>
            </w:tcBorders>
          </w:tcPr>
          <w:p w14:paraId="46D68DFA">
            <w:pPr>
              <w:spacing w:before="40" w:after="40"/>
              <w:ind w:firstLine="0"/>
              <w:jc w:val="center"/>
            </w:pPr>
            <w:r>
              <w:rPr>
                <w:rFonts w:ascii="Times New Roman" w:hAnsi="Times New Roman" w:eastAsia="宋体" w:cs="Times New Roman"/>
                <w:color w:val="000000"/>
                <w:sz w:val="20"/>
              </w:rPr>
              <w:t>[0.114, 0.594]</w:t>
            </w:r>
          </w:p>
        </w:tc>
        <w:tc>
          <w:tcPr>
            <w:tcW w:w="1729" w:type="dxa"/>
            <w:tcBorders>
              <w:bottom w:val="single" w:color="000000" w:sz="12" w:space="0"/>
            </w:tcBorders>
          </w:tcPr>
          <w:p w14:paraId="04C4782E">
            <w:pPr>
              <w:spacing w:before="40" w:after="40"/>
              <w:ind w:firstLine="0"/>
              <w:jc w:val="center"/>
            </w:pPr>
            <w:r>
              <w:rPr>
                <w:rFonts w:ascii="Times New Roman" w:hAnsi="Times New Roman" w:eastAsia="宋体" w:cs="Times New Roman"/>
                <w:color w:val="000000"/>
                <w:sz w:val="20"/>
              </w:rPr>
              <w:t>是</w:t>
            </w:r>
          </w:p>
        </w:tc>
      </w:tr>
    </w:tbl>
    <w:p w14:paraId="71F3F306">
      <w:r>
        <w:rPr>
          <w:rFonts w:ascii="Times New Roman" w:hAnsi="Times New Roman" w:eastAsia="宋体" w:cs="Times New Roman"/>
          <w:color w:val="000000"/>
        </w:rPr>
        <w:t>分析表明，产品定价显著调节了品牌形象通过情绪价值影响产品质量的间接路径。具体而言，在低产品定价水平（均值减一个标准差）下，间接效应值为 0.075，其 95% 置信区间为 [-0.012, 0.213]，包含 0，表明间接效应不显著。在平均产品定价水平下，间接效应值为 0.195，其 95% 置信区间为 [0.068, 0.38]，不包含 0，表明间接效应显著。在高产品定价水平（均值加一个标准差）下，间接效应值增强至 0.315，其 95% 置信区间为 [0.114, 0.594]，不包含 0，表明间接效应显著且最强。此外，调节中介指数为 0.108，其 95% 置信区间为 [0.036, 0.213]，不包含 0，进一步证实了产品定价的调节作用显著。</w:t>
      </w:r>
    </w:p>
    <w:p w14:paraId="4E0D02AD">
      <w:pPr>
        <w:pStyle w:val="5"/>
      </w:pPr>
      <w:r>
        <w:rPr>
          <w:rFonts w:ascii="Times New Roman" w:hAnsi="Times New Roman" w:eastAsia="黑体" w:cs="Times New Roman"/>
          <w:i w:val="0"/>
          <w:color w:val="000000"/>
        </w:rPr>
        <w:t>五、假设检验结果总结</w:t>
      </w:r>
    </w:p>
    <w:p w14:paraId="768AD1B9">
      <w:r>
        <w:rPr>
          <w:rFonts w:ascii="Times New Roman" w:hAnsi="Times New Roman" w:eastAsia="宋体" w:cs="Times New Roman"/>
          <w:color w:val="000000"/>
        </w:rPr>
        <w:t>综合以上分析结果，对本研究提出的假设进行检验，结果汇总如表 4 所示。</w:t>
      </w:r>
    </w:p>
    <w:p w14:paraId="24928EE4">
      <w:r>
        <w:rPr>
          <w:rFonts w:ascii="Times New Roman" w:hAnsi="Times New Roman" w:eastAsia="宋体" w:cs="Times New Roman"/>
          <w:color w:val="000000"/>
        </w:rPr>
        <w:t>表 4 研究假设检验结果汇总</w:t>
      </w:r>
    </w:p>
    <w:tbl>
      <w:tblPr>
        <w:tblStyle w:val="32"/>
        <w:tblW w:w="0" w:type="auto"/>
        <w:jc w:val="center"/>
        <w:tblLayout w:type="autofit"/>
        <w:tblCellMar>
          <w:top w:w="0" w:type="dxa"/>
          <w:left w:w="108" w:type="dxa"/>
          <w:bottom w:w="0" w:type="dxa"/>
          <w:right w:w="108" w:type="dxa"/>
        </w:tblCellMar>
      </w:tblPr>
      <w:tblGrid>
        <w:gridCol w:w="2882"/>
        <w:gridCol w:w="2882"/>
        <w:gridCol w:w="2882"/>
      </w:tblGrid>
      <w:tr w14:paraId="6CFA37D8">
        <w:trPr>
          <w:jc w:val="center"/>
        </w:trPr>
        <w:tc>
          <w:tcPr>
            <w:tcW w:w="2882" w:type="dxa"/>
            <w:tcBorders>
              <w:top w:val="single" w:color="000000" w:sz="12" w:space="0"/>
              <w:bottom w:val="single" w:color="000000" w:sz="4" w:space="0"/>
            </w:tcBorders>
          </w:tcPr>
          <w:p w14:paraId="4529DD59">
            <w:pPr>
              <w:spacing w:before="40" w:after="40"/>
              <w:ind w:firstLine="0"/>
              <w:jc w:val="center"/>
            </w:pPr>
            <w:r>
              <w:rPr>
                <w:rFonts w:ascii="Times New Roman" w:hAnsi="Times New Roman" w:eastAsia="宋体" w:cs="Times New Roman"/>
                <w:b/>
                <w:color w:val="000000"/>
                <w:sz w:val="20"/>
              </w:rPr>
              <w:t>假设编号</w:t>
            </w:r>
          </w:p>
        </w:tc>
        <w:tc>
          <w:tcPr>
            <w:tcW w:w="2882" w:type="dxa"/>
            <w:tcBorders>
              <w:top w:val="single" w:color="000000" w:sz="12" w:space="0"/>
              <w:bottom w:val="single" w:color="000000" w:sz="4" w:space="0"/>
            </w:tcBorders>
          </w:tcPr>
          <w:p w14:paraId="5634D459">
            <w:pPr>
              <w:spacing w:before="40" w:after="40"/>
              <w:ind w:firstLine="0"/>
              <w:jc w:val="center"/>
            </w:pPr>
            <w:r>
              <w:rPr>
                <w:rFonts w:ascii="Times New Roman" w:hAnsi="Times New Roman" w:eastAsia="宋体" w:cs="Times New Roman"/>
                <w:b/>
                <w:color w:val="000000"/>
                <w:sz w:val="20"/>
              </w:rPr>
              <w:t>假设内容</w:t>
            </w:r>
          </w:p>
        </w:tc>
        <w:tc>
          <w:tcPr>
            <w:tcW w:w="2882" w:type="dxa"/>
            <w:tcBorders>
              <w:top w:val="single" w:color="000000" w:sz="12" w:space="0"/>
              <w:bottom w:val="single" w:color="000000" w:sz="4" w:space="0"/>
            </w:tcBorders>
          </w:tcPr>
          <w:p w14:paraId="26C966E6">
            <w:pPr>
              <w:spacing w:before="40" w:after="40"/>
              <w:ind w:firstLine="0"/>
              <w:jc w:val="center"/>
            </w:pPr>
            <w:r>
              <w:rPr>
                <w:rFonts w:ascii="Times New Roman" w:hAnsi="Times New Roman" w:eastAsia="宋体" w:cs="Times New Roman"/>
                <w:b/>
                <w:color w:val="000000"/>
                <w:sz w:val="20"/>
              </w:rPr>
              <w:t>检验结果</w:t>
            </w:r>
          </w:p>
        </w:tc>
      </w:tr>
      <w:tr w14:paraId="74358C91">
        <w:tblPrEx>
          <w:tblCellMar>
            <w:top w:w="0" w:type="dxa"/>
            <w:left w:w="108" w:type="dxa"/>
            <w:bottom w:w="0" w:type="dxa"/>
            <w:right w:w="108" w:type="dxa"/>
          </w:tblCellMar>
        </w:tblPrEx>
        <w:trPr>
          <w:jc w:val="center"/>
        </w:trPr>
        <w:tc>
          <w:tcPr>
            <w:tcW w:w="2882" w:type="dxa"/>
          </w:tcPr>
          <w:p w14:paraId="21C8B80E">
            <w:pPr>
              <w:spacing w:before="40" w:after="40"/>
              <w:ind w:firstLine="0"/>
              <w:jc w:val="center"/>
            </w:pPr>
            <w:r>
              <w:rPr>
                <w:rFonts w:ascii="Times New Roman" w:hAnsi="Times New Roman" w:eastAsia="宋体" w:cs="Times New Roman"/>
                <w:color w:val="000000"/>
                <w:sz w:val="20"/>
              </w:rPr>
              <w:t>H1</w:t>
            </w:r>
          </w:p>
        </w:tc>
        <w:tc>
          <w:tcPr>
            <w:tcW w:w="2882" w:type="dxa"/>
          </w:tcPr>
          <w:p w14:paraId="4A966FC0">
            <w:pPr>
              <w:spacing w:before="40" w:after="40"/>
              <w:ind w:firstLine="0"/>
              <w:jc w:val="center"/>
            </w:pPr>
            <w:r>
              <w:rPr>
                <w:rFonts w:ascii="Times New Roman" w:hAnsi="Times New Roman" w:eastAsia="宋体" w:cs="Times New Roman"/>
                <w:color w:val="000000"/>
                <w:sz w:val="20"/>
              </w:rPr>
              <w:t>品牌形象正向影响消费者感知的产品质量</w:t>
            </w:r>
          </w:p>
        </w:tc>
        <w:tc>
          <w:tcPr>
            <w:tcW w:w="2882" w:type="dxa"/>
          </w:tcPr>
          <w:p w14:paraId="18062E89">
            <w:pPr>
              <w:spacing w:before="40" w:after="40"/>
              <w:ind w:firstLine="0"/>
              <w:jc w:val="center"/>
            </w:pPr>
            <w:r>
              <w:rPr>
                <w:rFonts w:ascii="Times New Roman" w:hAnsi="Times New Roman" w:eastAsia="宋体" w:cs="Times New Roman"/>
                <w:color w:val="000000"/>
                <w:sz w:val="20"/>
              </w:rPr>
              <w:t>得到支持</w:t>
            </w:r>
          </w:p>
        </w:tc>
      </w:tr>
      <w:tr w14:paraId="1151843B">
        <w:tblPrEx>
          <w:tblCellMar>
            <w:top w:w="0" w:type="dxa"/>
            <w:left w:w="108" w:type="dxa"/>
            <w:bottom w:w="0" w:type="dxa"/>
            <w:right w:w="108" w:type="dxa"/>
          </w:tblCellMar>
        </w:tblPrEx>
        <w:trPr>
          <w:jc w:val="center"/>
        </w:trPr>
        <w:tc>
          <w:tcPr>
            <w:tcW w:w="2882" w:type="dxa"/>
          </w:tcPr>
          <w:p w14:paraId="6069D7AA">
            <w:pPr>
              <w:spacing w:before="40" w:after="40"/>
              <w:ind w:firstLine="0"/>
              <w:jc w:val="center"/>
            </w:pPr>
            <w:r>
              <w:rPr>
                <w:rFonts w:ascii="Times New Roman" w:hAnsi="Times New Roman" w:eastAsia="宋体" w:cs="Times New Roman"/>
                <w:color w:val="000000"/>
                <w:sz w:val="20"/>
              </w:rPr>
              <w:t>H2</w:t>
            </w:r>
          </w:p>
        </w:tc>
        <w:tc>
          <w:tcPr>
            <w:tcW w:w="2882" w:type="dxa"/>
          </w:tcPr>
          <w:p w14:paraId="53FA0625">
            <w:pPr>
              <w:spacing w:before="40" w:after="40"/>
              <w:ind w:firstLine="0"/>
              <w:jc w:val="center"/>
            </w:pPr>
            <w:r>
              <w:rPr>
                <w:rFonts w:ascii="Times New Roman" w:hAnsi="Times New Roman" w:eastAsia="宋体" w:cs="Times New Roman"/>
                <w:color w:val="000000"/>
                <w:sz w:val="20"/>
              </w:rPr>
              <w:t>品牌形象正向影响消费者的情绪价值感知</w:t>
            </w:r>
          </w:p>
        </w:tc>
        <w:tc>
          <w:tcPr>
            <w:tcW w:w="2882" w:type="dxa"/>
          </w:tcPr>
          <w:p w14:paraId="458DA36D">
            <w:pPr>
              <w:spacing w:before="40" w:after="40"/>
              <w:ind w:firstLine="0"/>
              <w:jc w:val="center"/>
            </w:pPr>
            <w:r>
              <w:rPr>
                <w:rFonts w:ascii="Times New Roman" w:hAnsi="Times New Roman" w:eastAsia="宋体" w:cs="Times New Roman"/>
                <w:color w:val="000000"/>
                <w:sz w:val="20"/>
              </w:rPr>
              <w:t>得到支持</w:t>
            </w:r>
          </w:p>
        </w:tc>
      </w:tr>
      <w:tr w14:paraId="79622AC6">
        <w:tblPrEx>
          <w:tblCellMar>
            <w:top w:w="0" w:type="dxa"/>
            <w:left w:w="108" w:type="dxa"/>
            <w:bottom w:w="0" w:type="dxa"/>
            <w:right w:w="108" w:type="dxa"/>
          </w:tblCellMar>
        </w:tblPrEx>
        <w:trPr>
          <w:jc w:val="center"/>
        </w:trPr>
        <w:tc>
          <w:tcPr>
            <w:tcW w:w="2882" w:type="dxa"/>
          </w:tcPr>
          <w:p w14:paraId="50701E69">
            <w:pPr>
              <w:spacing w:before="40" w:after="40"/>
              <w:ind w:firstLine="0"/>
              <w:jc w:val="center"/>
            </w:pPr>
            <w:r>
              <w:rPr>
                <w:rFonts w:ascii="Times New Roman" w:hAnsi="Times New Roman" w:eastAsia="宋体" w:cs="Times New Roman"/>
                <w:color w:val="000000"/>
                <w:sz w:val="20"/>
              </w:rPr>
              <w:t>H3</w:t>
            </w:r>
          </w:p>
        </w:tc>
        <w:tc>
          <w:tcPr>
            <w:tcW w:w="2882" w:type="dxa"/>
          </w:tcPr>
          <w:p w14:paraId="2C05C25B">
            <w:pPr>
              <w:spacing w:before="40" w:after="40"/>
              <w:ind w:firstLine="0"/>
              <w:jc w:val="center"/>
            </w:pPr>
            <w:r>
              <w:rPr>
                <w:rFonts w:ascii="Times New Roman" w:hAnsi="Times New Roman" w:eastAsia="宋体" w:cs="Times New Roman"/>
                <w:color w:val="000000"/>
                <w:sz w:val="20"/>
              </w:rPr>
              <w:t>情绪价值正向影响消费者对产品质量的感知</w:t>
            </w:r>
          </w:p>
        </w:tc>
        <w:tc>
          <w:tcPr>
            <w:tcW w:w="2882" w:type="dxa"/>
          </w:tcPr>
          <w:p w14:paraId="55036050">
            <w:pPr>
              <w:spacing w:before="40" w:after="40"/>
              <w:ind w:firstLine="0"/>
              <w:jc w:val="center"/>
            </w:pPr>
            <w:r>
              <w:rPr>
                <w:rFonts w:ascii="Times New Roman" w:hAnsi="Times New Roman" w:eastAsia="宋体" w:cs="Times New Roman"/>
                <w:color w:val="000000"/>
                <w:sz w:val="20"/>
              </w:rPr>
              <w:t>得到支持</w:t>
            </w:r>
          </w:p>
        </w:tc>
      </w:tr>
      <w:tr w14:paraId="3371F240">
        <w:tblPrEx>
          <w:tblCellMar>
            <w:top w:w="0" w:type="dxa"/>
            <w:left w:w="108" w:type="dxa"/>
            <w:bottom w:w="0" w:type="dxa"/>
            <w:right w:w="108" w:type="dxa"/>
          </w:tblCellMar>
        </w:tblPrEx>
        <w:trPr>
          <w:jc w:val="center"/>
        </w:trPr>
        <w:tc>
          <w:tcPr>
            <w:tcW w:w="2882" w:type="dxa"/>
          </w:tcPr>
          <w:p w14:paraId="35C1BF0A">
            <w:pPr>
              <w:spacing w:before="40" w:after="40"/>
              <w:ind w:firstLine="0"/>
              <w:jc w:val="center"/>
            </w:pPr>
            <w:r>
              <w:rPr>
                <w:rFonts w:ascii="Times New Roman" w:hAnsi="Times New Roman" w:eastAsia="宋体" w:cs="Times New Roman"/>
                <w:color w:val="000000"/>
                <w:sz w:val="20"/>
              </w:rPr>
              <w:t>H4</w:t>
            </w:r>
          </w:p>
        </w:tc>
        <w:tc>
          <w:tcPr>
            <w:tcW w:w="2882" w:type="dxa"/>
          </w:tcPr>
          <w:p w14:paraId="4BEDAD9E">
            <w:pPr>
              <w:spacing w:before="40" w:after="40"/>
              <w:ind w:firstLine="0"/>
              <w:jc w:val="center"/>
            </w:pPr>
            <w:r>
              <w:rPr>
                <w:rFonts w:ascii="Times New Roman" w:hAnsi="Times New Roman" w:eastAsia="宋体" w:cs="Times New Roman"/>
                <w:color w:val="000000"/>
                <w:sz w:val="20"/>
              </w:rPr>
              <w:t>产品定价正向影响情绪价值</w:t>
            </w:r>
          </w:p>
        </w:tc>
        <w:tc>
          <w:tcPr>
            <w:tcW w:w="2882" w:type="dxa"/>
          </w:tcPr>
          <w:p w14:paraId="29350003">
            <w:pPr>
              <w:spacing w:before="40" w:after="40"/>
              <w:ind w:firstLine="0"/>
              <w:jc w:val="center"/>
            </w:pPr>
            <w:r>
              <w:rPr>
                <w:rFonts w:ascii="Times New Roman" w:hAnsi="Times New Roman" w:eastAsia="宋体" w:cs="Times New Roman"/>
                <w:color w:val="000000"/>
                <w:sz w:val="20"/>
              </w:rPr>
              <w:t>得到支持</w:t>
            </w:r>
          </w:p>
        </w:tc>
      </w:tr>
      <w:tr w14:paraId="5D32A338">
        <w:tblPrEx>
          <w:tblCellMar>
            <w:top w:w="0" w:type="dxa"/>
            <w:left w:w="108" w:type="dxa"/>
            <w:bottom w:w="0" w:type="dxa"/>
            <w:right w:w="108" w:type="dxa"/>
          </w:tblCellMar>
        </w:tblPrEx>
        <w:trPr>
          <w:jc w:val="center"/>
        </w:trPr>
        <w:tc>
          <w:tcPr>
            <w:tcW w:w="2882" w:type="dxa"/>
            <w:tcBorders>
              <w:bottom w:val="single" w:color="000000" w:sz="12" w:space="0"/>
            </w:tcBorders>
          </w:tcPr>
          <w:p w14:paraId="658107AC">
            <w:pPr>
              <w:spacing w:before="40" w:after="40"/>
              <w:ind w:firstLine="0"/>
              <w:jc w:val="center"/>
            </w:pPr>
            <w:r>
              <w:rPr>
                <w:rFonts w:ascii="Times New Roman" w:hAnsi="Times New Roman" w:eastAsia="宋体" w:cs="Times New Roman"/>
                <w:color w:val="000000"/>
                <w:sz w:val="20"/>
              </w:rPr>
              <w:t>H5</w:t>
            </w:r>
          </w:p>
        </w:tc>
        <w:tc>
          <w:tcPr>
            <w:tcW w:w="2882" w:type="dxa"/>
            <w:tcBorders>
              <w:bottom w:val="single" w:color="000000" w:sz="12" w:space="0"/>
            </w:tcBorders>
          </w:tcPr>
          <w:p w14:paraId="5E03F779">
            <w:pPr>
              <w:spacing w:before="40" w:after="40"/>
              <w:ind w:firstLine="0"/>
              <w:jc w:val="center"/>
            </w:pPr>
            <w:r>
              <w:rPr>
                <w:rFonts w:ascii="Times New Roman" w:hAnsi="Times New Roman" w:eastAsia="宋体" w:cs="Times New Roman"/>
                <w:color w:val="000000"/>
                <w:sz w:val="20"/>
              </w:rPr>
              <w:t>产品定价调节品牌形象对情绪价值的影响（调节中介模型）</w:t>
            </w:r>
          </w:p>
        </w:tc>
        <w:tc>
          <w:tcPr>
            <w:tcW w:w="2882" w:type="dxa"/>
            <w:tcBorders>
              <w:bottom w:val="single" w:color="000000" w:sz="12" w:space="0"/>
            </w:tcBorders>
          </w:tcPr>
          <w:p w14:paraId="585DA070">
            <w:pPr>
              <w:spacing w:before="40" w:after="40"/>
              <w:ind w:firstLine="0"/>
              <w:jc w:val="center"/>
            </w:pPr>
            <w:r>
              <w:rPr>
                <w:rFonts w:ascii="Times New Roman" w:hAnsi="Times New Roman" w:eastAsia="宋体" w:cs="Times New Roman"/>
                <w:color w:val="000000"/>
                <w:sz w:val="20"/>
              </w:rPr>
              <w:t>得到支持</w:t>
            </w:r>
          </w:p>
        </w:tc>
      </w:tr>
    </w:tbl>
    <w:p w14:paraId="350B6567">
      <w:r>
        <w:rPr>
          <w:rFonts w:ascii="Times New Roman" w:hAnsi="Times New Roman" w:eastAsia="宋体" w:cs="Times New Roman"/>
          <w:color w:val="000000"/>
        </w:rPr>
        <w:t>具体而言：</w:t>
      </w:r>
    </w:p>
    <w:p w14:paraId="42BEFB22">
      <w:r>
        <w:rPr>
          <w:rFonts w:ascii="Times New Roman" w:hAnsi="Times New Roman" w:eastAsia="宋体" w:cs="Times New Roman"/>
          <w:color w:val="000000"/>
        </w:rPr>
        <w:t>1. 品牌形象对产品质量具有显著的正向总效应和直接效应（H1 得到支持）。</w:t>
      </w:r>
    </w:p>
    <w:p w14:paraId="70280FD5">
      <w:r>
        <w:rPr>
          <w:rFonts w:ascii="Times New Roman" w:hAnsi="Times New Roman" w:eastAsia="宋体" w:cs="Times New Roman"/>
          <w:color w:val="000000"/>
        </w:rPr>
        <w:t>2. 品牌形象对情绪价值具有显著的正向影响（H2 得到支持）。</w:t>
      </w:r>
    </w:p>
    <w:p w14:paraId="2A34D6C8">
      <w:r>
        <w:rPr>
          <w:rFonts w:ascii="Times New Roman" w:hAnsi="Times New Roman" w:eastAsia="宋体" w:cs="Times New Roman"/>
          <w:color w:val="000000"/>
        </w:rPr>
        <w:t>3. 情绪价值对产品质量具有显著的正向影响（H3 得到支持）。</w:t>
      </w:r>
    </w:p>
    <w:p w14:paraId="40069A3C">
      <w:r>
        <w:rPr>
          <w:rFonts w:ascii="Times New Roman" w:hAnsi="Times New Roman" w:eastAsia="宋体" w:cs="Times New Roman"/>
          <w:color w:val="000000"/>
        </w:rPr>
        <w:t>4. 产品定价对情绪价值具有显著的正向影响（H4 得到支持）。</w:t>
      </w:r>
    </w:p>
    <w:p w14:paraId="5E10AF51">
      <w:r>
        <w:rPr>
          <w:rFonts w:ascii="Times New Roman" w:hAnsi="Times New Roman" w:eastAsia="宋体" w:cs="Times New Roman"/>
          <w:color w:val="000000"/>
        </w:rPr>
        <w:t>5.</w:t>
      </w:r>
    </w:p>
    <w:p w14:paraId="1A6C5D83">
      <w:r>
        <w:rPr>
          <w:rFonts w:ascii="Times New Roman" w:hAnsi="Times New Roman" w:eastAsia="宋体" w:cs="Times New Roman"/>
          <w:color w:val="000000"/>
        </w:rPr>
        <w:t>产品定价显著正向调节了品牌形象对情绪价值的影响，即产品定价越高，品牌形象对情绪价值的正向影响越强，进而使得“品牌形象→情绪价值→产品质量”这一间接效应随产品定价升高而增强，形成被调节的中介模型（H5 得到支持）。在控制情绪价值后，品牌形象对产品质量的直接效应不显著，表明情绪价值在品牌形象与产品质量之间起完全中介作用。</w:t>
      </w:r>
    </w:p>
    <w:p w14:paraId="4F8977C5">
      <w:pPr>
        <w:pStyle w:val="3"/>
      </w:pPr>
      <w:r>
        <w:rPr>
          <w:rFonts w:ascii="Times New Roman" w:hAnsi="Times New Roman" w:eastAsia="黑体" w:cs="Times New Roman"/>
          <w:i w:val="0"/>
          <w:color w:val="000000"/>
        </w:rPr>
        <w:t>第五章 讨论与结论</w:t>
      </w:r>
    </w:p>
    <w:p w14:paraId="6603CD51">
      <w:pPr>
        <w:pStyle w:val="4"/>
      </w:pPr>
      <w:r>
        <w:rPr>
          <w:rFonts w:ascii="Times New Roman" w:hAnsi="Times New Roman" w:eastAsia="黑体" w:cs="Times New Roman"/>
          <w:i w:val="0"/>
          <w:color w:val="000000"/>
        </w:rPr>
        <w:t>第一节 讨论</w:t>
      </w:r>
    </w:p>
    <w:p w14:paraId="71BBB54A">
      <w:pPr>
        <w:pStyle w:val="5"/>
      </w:pPr>
      <w:r>
        <w:rPr>
          <w:rFonts w:ascii="Times New Roman" w:hAnsi="Times New Roman" w:eastAsia="黑体" w:cs="Times New Roman"/>
          <w:i w:val="0"/>
          <w:color w:val="000000"/>
        </w:rPr>
        <w:t>一、研究发现讨论</w:t>
      </w:r>
    </w:p>
    <w:p w14:paraId="16C51C79">
      <w:r>
        <w:rPr>
          <w:rFonts w:ascii="Times New Roman" w:hAnsi="Times New Roman" w:eastAsia="宋体" w:cs="Times New Roman"/>
          <w:color w:val="000000"/>
        </w:rPr>
        <w:t>本研究通过一个有调节的中介模型，系统检验了品牌形象、情绪价值、产品质量感知和产品定价之间的关系。所有假设均得到支持，揭示了在折扣零售情境下，消费者认知、情感与价格信号之间复杂的交互作用机制。</w:t>
      </w:r>
    </w:p>
    <w:p w14:paraId="2E315F12">
      <w:r>
        <w:rPr>
          <w:rFonts w:ascii="Times New Roman" w:hAnsi="Times New Roman" w:eastAsia="宋体" w:cs="Times New Roman"/>
          <w:color w:val="000000"/>
        </w:rPr>
        <w:t>首先，本研究发现品牌形象不仅对产品质量感知具有显著的正向直接效应（H1），还通过情绪价值的中介作用间接影响产品质量（H2, H3）。这一发现与品牌管理领域的主流观点一致，即品牌形象作为一种强有力的外部线索，能够有效降低消费者对产品内在质量的不确定性，从而提升其质量感知(Asnawir &amp; Simanjuntak, 2025)。然而，本研究的贡献在于揭示了这一认知过程并非完全理性。情绪价值在其中扮演了完全中介的角色，表明积极的品牌形象首先激发了消费者的积极情感体验，如信任、愉悦或归属感，而这些情感体验继而成为消费者推断产品质量的重要信息来源(Wijaya &amp; Mansur, 2025)。这支持了“情感即信息”的理论观点，即消费者会将消费过程中产生的情绪状态作为评估产品价值与质量的诊断性线索(Wu et al., 2020)。在折扣零售环境中，这一机制尤为重要。消费者可能面临“低价-低质”的固有偏见，而一个清晰、积极的品牌形象（如奥乐齐所代表的“精打细算的明智选择”）能够通过唤起消费者的正面情绪（如精明购物的自豪感），有效缓冲价格带来的负面质量推断，从而提升对产品质量的感知。</w:t>
      </w:r>
    </w:p>
    <w:p w14:paraId="727E6687">
      <w:r>
        <w:rPr>
          <w:rFonts w:ascii="Times New Roman" w:hAnsi="Times New Roman" w:eastAsia="宋体" w:cs="Times New Roman"/>
          <w:color w:val="000000"/>
        </w:rPr>
        <w:t>其次，研究证实了产品定价不仅直接影响情绪价值（H4），更重要的是，它正向调节了品牌形象对情绪价值的影响（H5）。这一调节效应构成了本研究的核心理论洞见。具体而言，当消费者感知的产品定价较高时，品牌形象对情绪价值的正向影响更强；反之，当定价较低时，该影响减弱，甚至导致“品牌形象→情绪价值→产品质量”的间接路径不显著。这一发现挑战了将价格单纯视为成本或牺牲的传统观点，揭示了其在折扣零售情境下的双重角色。一方面，价格作为货币牺牲，其正向影响情绪价值（H4）可能反映了“物有所值”或“交易效用”带来的满足感(Yuan et al., 2022)。另一方面，更高的定价在特定情境下（如与一个清晰的品牌形象结合）可能扮演了质量或价值信号的角色(Balaji et al., 2025)。对于奥乐齐这样的折扣零售商，适度的、与其“优质低价”定位相符的定价，能够强化其品牌形象所传递的“高性价比”承诺，从而更有效地激发消费者的正面情绪（如惊喜、满意）。若定价过低，可能无法有效承载品牌形象所承诺的价值，导致情感联结减弱；而定价过高则可能与其折扣定位产生冲突，损害品牌形象本身。因此，定价并非越低越好，而是需要与品牌形象协同，共同塑造消费者的情感体验。</w:t>
      </w:r>
    </w:p>
    <w:p w14:paraId="66F8950A">
      <w:r>
        <w:rPr>
          <w:rFonts w:ascii="Times New Roman" w:hAnsi="Times New Roman" w:eastAsia="宋体" w:cs="Times New Roman"/>
          <w:color w:val="000000"/>
        </w:rPr>
        <w:t>最后，本研究发现情绪价值对产品质量感知的正向影响（H3）得到了有力支持。这进一步强调了情感路径在消费者质量评估中的重要性。在信息不对称的零售环境中，尤其是在消费者难以直接判断产品客观质量时，从品牌互动中获得的情绪收益成为了一个关键的质量推断依据(Mingione et al., 2020)。对于奥乐齐而言，通过店铺环境、产品陈列、服务互动等触点营造简洁、高效、令人愉悦的购物体验，所创造的情绪价值可以直接转化为消费者对其产品品质的更高评价。</w:t>
      </w:r>
    </w:p>
    <w:p w14:paraId="717376AF">
      <w:pPr>
        <w:pStyle w:val="5"/>
      </w:pPr>
      <w:r>
        <w:rPr>
          <w:rFonts w:ascii="Times New Roman" w:hAnsi="Times New Roman" w:eastAsia="黑体" w:cs="Times New Roman"/>
          <w:i w:val="0"/>
          <w:color w:val="000000"/>
        </w:rPr>
        <w:t>二、理论贡献</w:t>
      </w:r>
    </w:p>
    <w:p w14:paraId="6B2D87D8">
      <w:r>
        <w:rPr>
          <w:rFonts w:ascii="Times New Roman" w:hAnsi="Times New Roman" w:eastAsia="宋体" w:cs="Times New Roman"/>
          <w:color w:val="000000"/>
        </w:rPr>
        <w:t>本研究通过检验一个有调节的中介模型，对品牌管理、消费者行为及零售营销理论做出了以下几点具体贡献：</w:t>
      </w:r>
    </w:p>
    <w:p w14:paraId="15DC7E18">
      <w:r>
        <w:rPr>
          <w:rFonts w:ascii="Times New Roman" w:hAnsi="Times New Roman" w:eastAsia="宋体" w:cs="Times New Roman"/>
          <w:color w:val="000000"/>
        </w:rPr>
        <w:t>第一，本研究整合了认知与情感双路径，深化了对“品牌形象如何影响产品质量感知”这一经典问题的理解。以往研究多基于信号理论，强调品牌形象的认知诊断功能(Asnawir &amp; Simanjuntak, 2025)。本研究则揭示，在折扣零售这一特定情境下，情感路径（品牌形象→情绪价值→产品质量）扮演了核心角色，甚至完全中介了直接认知路径。这呼应了消费者决策中情感与认知交互作用的复杂本质(Ladeira et al., 2023)，并将情感即信息理论的应用场景扩展至传统上被认为高度功能导向的折扣零售领域。这表明，即便是追求性价比的消费者，其质量判断也深度依赖于情感体验。</w:t>
      </w:r>
    </w:p>
    <w:p w14:paraId="03936489">
      <w:r>
        <w:rPr>
          <w:rFonts w:ascii="Times New Roman" w:hAnsi="Times New Roman" w:eastAsia="宋体" w:cs="Times New Roman"/>
          <w:color w:val="000000"/>
        </w:rPr>
        <w:t>第二，本研究精炼了产品定价在品牌-消费者关系中的边界条件角色，提出了一个更具动态性的解释框架。传统上，价格在折扣零售中被主要视为吸引客流的核心工具(Kumar et al., 2020)。然而，本研究发现定价是品牌形象发挥情感影响力的关键调节器。这一定价与品牌形象的交互效应表明，价格策略的有效性高度依赖于其与整体品牌定位的契合度。这一发现挑战了“低价万能”的简单化观点，为理解硬折扣零售商如何通过战略性定价（而非仅仅最低价）来构建品牌资产和驱动消费者情感投入提供了新的理论视角(Beresford &amp; Hirst, 2020)。</w:t>
      </w:r>
    </w:p>
    <w:p w14:paraId="4CDBEC67">
      <w:r>
        <w:rPr>
          <w:rFonts w:ascii="Times New Roman" w:hAnsi="Times New Roman" w:eastAsia="宋体" w:cs="Times New Roman"/>
          <w:color w:val="000000"/>
        </w:rPr>
        <w:t>第三，本研究将“情绪价值”从一个结果变量或并列的价值维度，提升为连接品牌外部信号（形象、价格）与内部认知评估（质量）的关键心理机制。研究证实了情绪价值在折扣零售情境下对质量感知的显著预测力，这为未来研究探索不同零售业态（如全渠道、奢侈品零售）中情感机制的作用差异奠定了基础 。同时，本研究采用的被调节的中介模型，为分析类似复杂消费者心理过程提供了方法学范例，强调了考察变量间条件化间接效应的重要性(Hayes &amp; Rockwood, 2019)。</w:t>
      </w:r>
    </w:p>
    <w:p w14:paraId="1F1DE567">
      <w:pPr>
        <w:pStyle w:val="5"/>
      </w:pPr>
      <w:r>
        <w:rPr>
          <w:rFonts w:ascii="Times New Roman" w:hAnsi="Times New Roman" w:eastAsia="黑体" w:cs="Times New Roman"/>
          <w:i w:val="0"/>
          <w:color w:val="000000"/>
        </w:rPr>
        <w:t>三、实践启示</w:t>
      </w:r>
    </w:p>
    <w:p w14:paraId="2941324A">
      <w:r>
        <w:rPr>
          <w:rFonts w:ascii="Times New Roman" w:hAnsi="Times New Roman" w:eastAsia="宋体" w:cs="Times New Roman"/>
          <w:color w:val="000000"/>
        </w:rPr>
        <w:t>基于上述发现，本研究为以奥乐齐为代表的折扣零售商及其他零售企业提供了以下具体的管理建议：</w:t>
      </w:r>
    </w:p>
    <w:p w14:paraId="352D03F5">
      <w:r>
        <w:rPr>
          <w:rFonts w:ascii="Times New Roman" w:hAnsi="Times New Roman" w:eastAsia="宋体" w:cs="Times New Roman"/>
          <w:color w:val="000000"/>
        </w:rPr>
        <w:t>1. 超越价格竞争，投资于战略性品牌形象建设：管理者应认识到，清晰的品牌形象是激发消费者正面情绪、进而提升其质量感知的基础。奥乐齐应持续巩固并传播其“优质精选”、“高效简约”、“值得信赖”的核心品牌形象，而不仅仅是宣传低价。营销沟通应侧重于讲述品牌故事，如严选供应商、保证核心品类的质量等，以构建差异化的情感联想。</w:t>
      </w:r>
    </w:p>
    <w:p w14:paraId="6E093F62">
      <w:r>
        <w:rPr>
          <w:rFonts w:ascii="Times New Roman" w:hAnsi="Times New Roman" w:eastAsia="宋体" w:cs="Times New Roman"/>
          <w:color w:val="000000"/>
        </w:rPr>
        <w:t>2. 实施与品牌形象协同的精细化定价策略：定价决策不应孤立进行。管理层需要确保产品定价能够支撑和强化其品牌形象所承诺的价值。对于奥乐齐，这意味着避免陷入无底线的价格战，而应聚焦于在关键品类上提供具有显著竞争力的“杀手级价格”，同时确保整体价格水平与其“优质低价”的定位相符，以最大化品牌形象的情感效用。可以定期通过消费者调研监测价格感知与品牌形象的一致性。</w:t>
      </w:r>
    </w:p>
    <w:p w14:paraId="587B98EF">
      <w:r>
        <w:rPr>
          <w:rFonts w:ascii="Times New Roman" w:hAnsi="Times New Roman" w:eastAsia="宋体" w:cs="Times New Roman"/>
          <w:color w:val="000000"/>
        </w:rPr>
        <w:t>3. 系统化设计与管理消费者情绪触点：既然情绪价值是驱动质量感知的中枢，零售商应有意识地设计和管理能够激发目标情绪的消费者触点 (Pham &amp; Sun, 2020)。例如，优化店铺的整洁度与动线设计以创造轻松感，培训员工提供高效而友好的服务以传递尊重感，通过包装和产品信息传递简洁透明的价值观以建立信任感。这些情绪体验的累积，将直接转化为对产品品质的更高评价 (Serra-Cantallops et al., 2020)。</w:t>
      </w:r>
    </w:p>
    <w:p w14:paraId="1315C984">
      <w:r>
        <w:rPr>
          <w:rFonts w:ascii="Times New Roman" w:hAnsi="Times New Roman" w:eastAsia="宋体" w:cs="Times New Roman"/>
          <w:color w:val="000000"/>
        </w:rPr>
        <w:t>4. 利用定价信号强化情感承诺：在推出新产品或升级现有产品时，可以考虑利用定价作为质量信号。例如，对一款定位更高端的自有品牌产品，采取略高于常规系列但依然极具竞争力的定价，这既能与主品牌形象保持一致，又能通过价格信号强化其“超值优质”的定位，从而激发消费者“发现宝藏”的惊喜与自豪情绪。</w:t>
      </w:r>
    </w:p>
    <w:p w14:paraId="2EAE76D1">
      <w:pPr>
        <w:pStyle w:val="5"/>
      </w:pPr>
      <w:r>
        <w:rPr>
          <w:rFonts w:ascii="Times New Roman" w:hAnsi="Times New Roman" w:eastAsia="黑体" w:cs="Times New Roman"/>
          <w:i w:val="0"/>
          <w:color w:val="000000"/>
        </w:rPr>
        <w:t>四、研究局限与未来方向</w:t>
      </w:r>
    </w:p>
    <w:p w14:paraId="09B0EB0B">
      <w:r>
        <w:rPr>
          <w:rFonts w:ascii="Times New Roman" w:hAnsi="Times New Roman" w:eastAsia="宋体" w:cs="Times New Roman"/>
          <w:color w:val="000000"/>
        </w:rPr>
        <w:t>本研究存在若干局限，同时也为未来研究指明了方向。</w:t>
      </w:r>
    </w:p>
    <w:p w14:paraId="1A925FA3">
      <w:r>
        <w:rPr>
          <w:rFonts w:ascii="Times New Roman" w:hAnsi="Times New Roman" w:eastAsia="宋体" w:cs="Times New Roman"/>
          <w:color w:val="000000"/>
        </w:rPr>
        <w:t>首先，本研究采用横截面调查设计，虽然通过统计方法检验了变量间的假设关系，但无法确证因果关系。未来研究可以采用实验法或纵向追踪设计，通过操纵品牌形象信息或价格水平，更严格地检验本模型中的因果链条。其次，样本量相对较小（N=53），尽管统计检验力足以检测到模型中存在的显著效应，但可能限制了模型复杂度的进一步提升（如纳入更多控制变量或二阶因子），也影响了研究结果的普遍性。未来研究应在更广泛的地域和更大的样本中复制验证本模型。</w:t>
      </w:r>
    </w:p>
    <w:p w14:paraId="34D50094">
      <w:r>
        <w:rPr>
          <w:rFonts w:ascii="Times New Roman" w:hAnsi="Times New Roman" w:eastAsia="宋体" w:cs="Times New Roman"/>
          <w:color w:val="000000"/>
        </w:rPr>
        <w:t>再次，本研究聚焦于产品定价的调节作用，但消费者对折扣零售商的感知和情感反应可能受到其他重要边界条件的影响。例如，消费者的购物动机（功利主义 vs. 享乐主义）、产品类别（搜索品 vs. 经验品）、以及个人特质（价格敏感度、品牌熟悉度）都可能调节本模型中的关系。未来研究可以探索这些因素，以绘制更完整的理论边界图谱。</w:t>
      </w:r>
    </w:p>
    <w:p w14:paraId="34FD2295">
      <w:r>
        <w:rPr>
          <w:rFonts w:ascii="Times New Roman" w:hAnsi="Times New Roman" w:eastAsia="宋体" w:cs="Times New Roman"/>
          <w:color w:val="000000"/>
        </w:rPr>
        <w:t>最后，本研究测量的是消费者对“产品定价”的整体感知，未区分参考价格、价格公平感、价格促销等不同定价维度的独特效应。例如，频繁的深度折扣是否会损害品牌形象及其情感价值？未来研究可以解构定价这一多维度构念，深入探讨不同定价策略（如每日低价 vs. 高-低定价）在折扣零售品牌建设中的差异化影响。</w:t>
      </w:r>
    </w:p>
    <w:p w14:paraId="7BB3EA9A">
      <w:pPr>
        <w:pStyle w:val="3"/>
      </w:pPr>
      <w:r>
        <w:rPr>
          <w:rFonts w:ascii="Times New Roman" w:hAnsi="Times New Roman" w:eastAsia="黑体" w:cs="Times New Roman"/>
          <w:i w:val="0"/>
          <w:color w:val="000000"/>
        </w:rPr>
        <w:t>参考文献</w:t>
      </w:r>
    </w:p>
    <w:p w14:paraId="0207BBEC">
      <w:pPr>
        <w:ind w:left="720" w:hanging="720"/>
      </w:pPr>
      <w:r>
        <w:rPr>
          <w:rFonts w:ascii="Times New Roman" w:hAnsi="Times New Roman" w:eastAsia="宋体" w:cs="Times New Roman"/>
          <w:color w:val="000000"/>
        </w:rPr>
        <w:t xml:space="preserve">Arslan, R. C., Reitz, A. K., Driebe, J. C., Gerlach, T. M., &amp; Penke, L. (2021). Routinely randomize potential sources of measurement reactivity to estimate and adjust for biases in subjective reports.. </w:t>
      </w:r>
      <w:r>
        <w:rPr>
          <w:rFonts w:ascii="Times New Roman" w:hAnsi="Times New Roman" w:eastAsia="宋体" w:cs="Times New Roman"/>
          <w:i/>
          <w:color w:val="000000"/>
        </w:rPr>
        <w:t>Psychological Methods</w:t>
      </w:r>
      <w:r>
        <w:rPr>
          <w:rFonts w:ascii="Times New Roman" w:hAnsi="Times New Roman" w:eastAsia="宋体" w:cs="Times New Roman"/>
          <w:color w:val="000000"/>
        </w:rPr>
        <w:t xml:space="preserve">, </w:t>
      </w:r>
      <w:r>
        <w:rPr>
          <w:rFonts w:ascii="Times New Roman" w:hAnsi="Times New Roman" w:eastAsia="宋体" w:cs="Times New Roman"/>
          <w:i/>
          <w:color w:val="000000"/>
        </w:rPr>
        <w:t>26</w:t>
      </w:r>
      <w:r>
        <w:rPr>
          <w:rFonts w:ascii="Times New Roman" w:hAnsi="Times New Roman" w:eastAsia="宋体" w:cs="Times New Roman"/>
          <w:color w:val="000000"/>
        </w:rPr>
        <w:t>(2), 175-185. https://doi.org/10.1037/met0000294</w:t>
      </w:r>
    </w:p>
    <w:p w14:paraId="741BC02D">
      <w:pPr>
        <w:ind w:left="720" w:hanging="720"/>
      </w:pPr>
      <w:r>
        <w:rPr>
          <w:rFonts w:ascii="Times New Roman" w:hAnsi="Times New Roman" w:eastAsia="宋体" w:cs="Times New Roman"/>
          <w:color w:val="000000"/>
        </w:rPr>
        <w:t xml:space="preserve">Asnawir, M. &amp; Simanjuntak, E. R. (2025). The Role of Perceived Risk in Moderating the Effects of Brand Image, E-WOM, and Brand Trust on Purchase Decision in Shopee Mall. </w:t>
      </w:r>
      <w:r>
        <w:rPr>
          <w:rFonts w:ascii="Times New Roman" w:hAnsi="Times New Roman" w:eastAsia="宋体" w:cs="Times New Roman"/>
          <w:i/>
          <w:color w:val="000000"/>
        </w:rPr>
        <w:t>Jurnal Ilmiah Global Education</w:t>
      </w:r>
      <w:r>
        <w:rPr>
          <w:rFonts w:ascii="Times New Roman" w:hAnsi="Times New Roman" w:eastAsia="宋体" w:cs="Times New Roman"/>
          <w:color w:val="000000"/>
        </w:rPr>
        <w:t xml:space="preserve">, </w:t>
      </w:r>
      <w:r>
        <w:rPr>
          <w:rFonts w:ascii="Times New Roman" w:hAnsi="Times New Roman" w:eastAsia="宋体" w:cs="Times New Roman"/>
          <w:i/>
          <w:color w:val="000000"/>
        </w:rPr>
        <w:t>6</w:t>
      </w:r>
      <w:r>
        <w:rPr>
          <w:rFonts w:ascii="Times New Roman" w:hAnsi="Times New Roman" w:eastAsia="宋体" w:cs="Times New Roman"/>
          <w:color w:val="000000"/>
        </w:rPr>
        <w:t>(3), 2065-2078. https://doi.org/10.55681/jige.v6i3.3842</w:t>
      </w:r>
    </w:p>
    <w:p w14:paraId="41C2DC12">
      <w:pPr>
        <w:ind w:left="720" w:hanging="720"/>
      </w:pPr>
      <w:r>
        <w:rPr>
          <w:rFonts w:ascii="Times New Roman" w:hAnsi="Times New Roman" w:eastAsia="宋体" w:cs="Times New Roman"/>
          <w:color w:val="000000"/>
        </w:rPr>
        <w:t xml:space="preserve">Bai, J. (2025). Melons as Lemons: Asymmetric Information, Consumer Learning and Seller Reputation. </w:t>
      </w:r>
      <w:r>
        <w:rPr>
          <w:rFonts w:ascii="Times New Roman" w:hAnsi="Times New Roman" w:eastAsia="宋体" w:cs="Times New Roman"/>
          <w:i/>
          <w:color w:val="000000"/>
        </w:rPr>
        <w:t>Review of Economic Studies</w:t>
      </w:r>
      <w:r>
        <w:rPr>
          <w:rFonts w:ascii="Times New Roman" w:hAnsi="Times New Roman" w:eastAsia="宋体" w:cs="Times New Roman"/>
          <w:color w:val="000000"/>
        </w:rPr>
        <w:t xml:space="preserve">, </w:t>
      </w:r>
      <w:r>
        <w:rPr>
          <w:rFonts w:ascii="Times New Roman" w:hAnsi="Times New Roman" w:eastAsia="宋体" w:cs="Times New Roman"/>
          <w:i/>
          <w:color w:val="000000"/>
        </w:rPr>
        <w:t>92</w:t>
      </w:r>
      <w:r>
        <w:rPr>
          <w:rFonts w:ascii="Times New Roman" w:hAnsi="Times New Roman" w:eastAsia="宋体" w:cs="Times New Roman"/>
          <w:color w:val="000000"/>
        </w:rPr>
        <w:t>(6), 3574-3610. https://doi.org/10.1093/restud/rdaf006</w:t>
      </w:r>
    </w:p>
    <w:p w14:paraId="5978D322">
      <w:pPr>
        <w:ind w:left="720" w:hanging="720"/>
      </w:pPr>
      <w:r>
        <w:rPr>
          <w:rFonts w:ascii="Times New Roman" w:hAnsi="Times New Roman" w:eastAsia="宋体" w:cs="Times New Roman"/>
          <w:color w:val="000000"/>
        </w:rPr>
        <w:t xml:space="preserve">Beresford, P. &amp; Hirst, C. (2020). How consumers reconcile discordant food retailer brand images. </w:t>
      </w:r>
      <w:r>
        <w:rPr>
          <w:rFonts w:ascii="Times New Roman" w:hAnsi="Times New Roman" w:eastAsia="宋体" w:cs="Times New Roman"/>
          <w:i/>
          <w:color w:val="000000"/>
        </w:rPr>
        <w:t>Journal of Marketing Management</w:t>
      </w:r>
      <w:r>
        <w:rPr>
          <w:rFonts w:ascii="Times New Roman" w:hAnsi="Times New Roman" w:eastAsia="宋体" w:cs="Times New Roman"/>
          <w:color w:val="000000"/>
        </w:rPr>
        <w:t xml:space="preserve">, </w:t>
      </w:r>
      <w:r>
        <w:rPr>
          <w:rFonts w:ascii="Times New Roman" w:hAnsi="Times New Roman" w:eastAsia="宋体" w:cs="Times New Roman"/>
          <w:i/>
          <w:color w:val="000000"/>
        </w:rPr>
        <w:t>36</w:t>
      </w:r>
      <w:r>
        <w:rPr>
          <w:rFonts w:ascii="Times New Roman" w:hAnsi="Times New Roman" w:eastAsia="宋体" w:cs="Times New Roman"/>
          <w:color w:val="000000"/>
        </w:rPr>
        <w:t>(11-12), 1104-1124. https://doi.org/10.1080/0267257x.2020.1783347</w:t>
      </w:r>
    </w:p>
    <w:p w14:paraId="371E0058">
      <w:pPr>
        <w:ind w:left="720" w:hanging="720"/>
      </w:pPr>
      <w:r>
        <w:rPr>
          <w:rFonts w:ascii="Times New Roman" w:hAnsi="Times New Roman" w:eastAsia="宋体" w:cs="Times New Roman"/>
          <w:color w:val="000000"/>
        </w:rPr>
        <w:t xml:space="preserve">Chen, L., Halepoto, H., Liu, C., Kumari, N., Yan, X., Du, Q., &amp; Memon, H. (2021). Relationship Analysis among Apparel Brand Image, Self-Congruity, and Consumers’ Purchase Intention. </w:t>
      </w:r>
      <w:r>
        <w:rPr>
          <w:rFonts w:ascii="Times New Roman" w:hAnsi="Times New Roman" w:eastAsia="宋体" w:cs="Times New Roman"/>
          <w:i/>
          <w:color w:val="000000"/>
        </w:rPr>
        <w:t>Sustainability</w:t>
      </w:r>
      <w:r>
        <w:rPr>
          <w:rFonts w:ascii="Times New Roman" w:hAnsi="Times New Roman" w:eastAsia="宋体" w:cs="Times New Roman"/>
          <w:color w:val="000000"/>
        </w:rPr>
        <w:t xml:space="preserve">, </w:t>
      </w:r>
      <w:r>
        <w:rPr>
          <w:rFonts w:ascii="Times New Roman" w:hAnsi="Times New Roman" w:eastAsia="宋体" w:cs="Times New Roman"/>
          <w:i/>
          <w:color w:val="000000"/>
        </w:rPr>
        <w:t>13</w:t>
      </w:r>
      <w:r>
        <w:rPr>
          <w:rFonts w:ascii="Times New Roman" w:hAnsi="Times New Roman" w:eastAsia="宋体" w:cs="Times New Roman"/>
          <w:color w:val="000000"/>
        </w:rPr>
        <w:t>(22), 12770. https://doi.org/10.3390/su132212770</w:t>
      </w:r>
    </w:p>
    <w:p w14:paraId="01905B19">
      <w:pPr>
        <w:ind w:left="720" w:hanging="720"/>
      </w:pPr>
      <w:r>
        <w:rPr>
          <w:rFonts w:ascii="Times New Roman" w:hAnsi="Times New Roman" w:eastAsia="宋体" w:cs="Times New Roman"/>
          <w:color w:val="000000"/>
        </w:rPr>
        <w:t xml:space="preserve">Chen, W., Zhao, B., Tu, H., Liao, M., Zhang, X., &amp; Su, Y. (2025). Perceived social support, insomnia, and psychological resilience: a chain mediation model of internet addiction in civil aviation cadets. </w:t>
      </w:r>
      <w:r>
        <w:rPr>
          <w:rFonts w:ascii="Times New Roman" w:hAnsi="Times New Roman" w:eastAsia="宋体" w:cs="Times New Roman"/>
          <w:i/>
          <w:color w:val="000000"/>
        </w:rPr>
        <w:t>Frontiers in Psychiatry</w:t>
      </w:r>
      <w:r>
        <w:rPr>
          <w:rFonts w:ascii="Times New Roman" w:hAnsi="Times New Roman" w:eastAsia="宋体" w:cs="Times New Roman"/>
          <w:color w:val="000000"/>
        </w:rPr>
        <w:t xml:space="preserve">, </w:t>
      </w:r>
      <w:r>
        <w:rPr>
          <w:rFonts w:ascii="Times New Roman" w:hAnsi="Times New Roman" w:eastAsia="宋体" w:cs="Times New Roman"/>
          <w:i/>
          <w:color w:val="000000"/>
        </w:rPr>
        <w:t>16</w:t>
      </w:r>
      <w:r>
        <w:rPr>
          <w:rFonts w:ascii="Times New Roman" w:hAnsi="Times New Roman" w:eastAsia="宋体" w:cs="Times New Roman"/>
          <w:color w:val="000000"/>
        </w:rPr>
        <w:t>. https://doi.org/10.3389/fpsyt.2025.1698824</w:t>
      </w:r>
    </w:p>
    <w:p w14:paraId="3D9A6F08">
      <w:pPr>
        <w:ind w:left="720" w:hanging="720"/>
      </w:pPr>
      <w:r>
        <w:rPr>
          <w:rFonts w:ascii="Times New Roman" w:hAnsi="Times New Roman" w:eastAsia="宋体" w:cs="Times New Roman"/>
          <w:color w:val="000000"/>
        </w:rPr>
        <w:t xml:space="preserve">Culot, C. &amp; Gevers, W. (2021). Happy is easy: the influence of affective states on cognitive control and metacognitive reports. </w:t>
      </w:r>
      <w:r>
        <w:rPr>
          <w:rFonts w:ascii="Times New Roman" w:hAnsi="Times New Roman" w:eastAsia="宋体" w:cs="Times New Roman"/>
          <w:i/>
          <w:color w:val="000000"/>
        </w:rPr>
        <w:t>Cognition and Emotion</w:t>
      </w:r>
      <w:r>
        <w:rPr>
          <w:rFonts w:ascii="Times New Roman" w:hAnsi="Times New Roman" w:eastAsia="宋体" w:cs="Times New Roman"/>
          <w:color w:val="000000"/>
        </w:rPr>
        <w:t xml:space="preserve">, </w:t>
      </w:r>
      <w:r>
        <w:rPr>
          <w:rFonts w:ascii="Times New Roman" w:hAnsi="Times New Roman" w:eastAsia="宋体" w:cs="Times New Roman"/>
          <w:i/>
          <w:color w:val="000000"/>
        </w:rPr>
        <w:t>35</w:t>
      </w:r>
      <w:r>
        <w:rPr>
          <w:rFonts w:ascii="Times New Roman" w:hAnsi="Times New Roman" w:eastAsia="宋体" w:cs="Times New Roman"/>
          <w:color w:val="000000"/>
        </w:rPr>
        <w:t>(6), 1195-1202. https://doi.org/10.1080/02699931.2021.1932427</w:t>
      </w:r>
    </w:p>
    <w:p w14:paraId="55A79B97">
      <w:pPr>
        <w:ind w:left="720" w:hanging="720"/>
      </w:pPr>
      <w:r>
        <w:rPr>
          <w:rFonts w:ascii="Times New Roman" w:hAnsi="Times New Roman" w:eastAsia="宋体" w:cs="Times New Roman"/>
          <w:color w:val="000000"/>
        </w:rPr>
        <w:t xml:space="preserve">Dzyabura, D. &amp; Peres, R. (2019). Visual Elicitation of Brand Perception. </w:t>
      </w:r>
      <w:r>
        <w:rPr>
          <w:rFonts w:ascii="Times New Roman" w:hAnsi="Times New Roman" w:eastAsia="宋体" w:cs="Times New Roman"/>
          <w:i/>
          <w:color w:val="000000"/>
        </w:rPr>
        <w:t>SSRN Electronic Journal</w:t>
      </w:r>
      <w:r>
        <w:rPr>
          <w:rFonts w:ascii="Times New Roman" w:hAnsi="Times New Roman" w:eastAsia="宋体" w:cs="Times New Roman"/>
          <w:color w:val="000000"/>
        </w:rPr>
        <w:t>. https://doi.org/10.2139/ssrn.3496538</w:t>
      </w:r>
    </w:p>
    <w:p w14:paraId="7B40C3B7">
      <w:pPr>
        <w:ind w:left="720" w:hanging="720"/>
      </w:pPr>
      <w:r>
        <w:rPr>
          <w:rFonts w:ascii="Times New Roman" w:hAnsi="Times New Roman" w:eastAsia="宋体" w:cs="Times New Roman"/>
          <w:color w:val="000000"/>
        </w:rPr>
        <w:t xml:space="preserve">Guru, R. R. D. &amp; Paulssen, M. (2020). Customers’ experienced product quality: scale development and validation. </w:t>
      </w:r>
      <w:r>
        <w:rPr>
          <w:rFonts w:ascii="Times New Roman" w:hAnsi="Times New Roman" w:eastAsia="宋体" w:cs="Times New Roman"/>
          <w:i/>
          <w:color w:val="000000"/>
        </w:rPr>
        <w:t>European Journal of Marketing</w:t>
      </w:r>
      <w:r>
        <w:rPr>
          <w:rFonts w:ascii="Times New Roman" w:hAnsi="Times New Roman" w:eastAsia="宋体" w:cs="Times New Roman"/>
          <w:color w:val="000000"/>
        </w:rPr>
        <w:t xml:space="preserve">, </w:t>
      </w:r>
      <w:r>
        <w:rPr>
          <w:rFonts w:ascii="Times New Roman" w:hAnsi="Times New Roman" w:eastAsia="宋体" w:cs="Times New Roman"/>
          <w:i/>
          <w:color w:val="000000"/>
        </w:rPr>
        <w:t>54</w:t>
      </w:r>
      <w:r>
        <w:rPr>
          <w:rFonts w:ascii="Times New Roman" w:hAnsi="Times New Roman" w:eastAsia="宋体" w:cs="Times New Roman"/>
          <w:color w:val="000000"/>
        </w:rPr>
        <w:t>(4), 645-670. https://doi.org/10.1108/ejm-03-2018-0156</w:t>
      </w:r>
    </w:p>
    <w:p w14:paraId="6AF6081A">
      <w:pPr>
        <w:ind w:left="720" w:hanging="720"/>
      </w:pPr>
      <w:r>
        <w:rPr>
          <w:rFonts w:ascii="Times New Roman" w:hAnsi="Times New Roman" w:eastAsia="宋体" w:cs="Times New Roman"/>
          <w:color w:val="000000"/>
        </w:rPr>
        <w:t xml:space="preserve">Hayes, A. F. &amp; Rockwood, N. J. (2019). Conditional Process Analysis: Concepts, Computation, and Advances in the Modeling of the Contingencies of Mechanisms. </w:t>
      </w:r>
      <w:r>
        <w:rPr>
          <w:rFonts w:ascii="Times New Roman" w:hAnsi="Times New Roman" w:eastAsia="宋体" w:cs="Times New Roman"/>
          <w:i/>
          <w:color w:val="000000"/>
        </w:rPr>
        <w:t>American Behavioral Scientist</w:t>
      </w:r>
      <w:r>
        <w:rPr>
          <w:rFonts w:ascii="Times New Roman" w:hAnsi="Times New Roman" w:eastAsia="宋体" w:cs="Times New Roman"/>
          <w:color w:val="000000"/>
        </w:rPr>
        <w:t xml:space="preserve">, </w:t>
      </w:r>
      <w:r>
        <w:rPr>
          <w:rFonts w:ascii="Times New Roman" w:hAnsi="Times New Roman" w:eastAsia="宋体" w:cs="Times New Roman"/>
          <w:i/>
          <w:color w:val="000000"/>
        </w:rPr>
        <w:t>64</w:t>
      </w:r>
      <w:r>
        <w:rPr>
          <w:rFonts w:ascii="Times New Roman" w:hAnsi="Times New Roman" w:eastAsia="宋体" w:cs="Times New Roman"/>
          <w:color w:val="000000"/>
        </w:rPr>
        <w:t>(1), 19-54. https://doi.org/10.1177/0002764219859633</w:t>
      </w:r>
    </w:p>
    <w:p w14:paraId="3468730A">
      <w:pPr>
        <w:ind w:left="720" w:hanging="720"/>
      </w:pPr>
      <w:r>
        <w:rPr>
          <w:rFonts w:ascii="Times New Roman" w:hAnsi="Times New Roman" w:eastAsia="宋体" w:cs="Times New Roman"/>
          <w:color w:val="000000"/>
        </w:rPr>
        <w:t xml:space="preserve">Howard, M. C., Boudreaux, M., &amp; Oglesby, M. (2024). Can Harman’s single-factor test reliably distinguish between research designs? Not in published management studies. </w:t>
      </w:r>
      <w:r>
        <w:rPr>
          <w:rFonts w:ascii="Times New Roman" w:hAnsi="Times New Roman" w:eastAsia="宋体" w:cs="Times New Roman"/>
          <w:i/>
          <w:color w:val="000000"/>
        </w:rPr>
        <w:t>European Journal of Work and Organizational Psychology</w:t>
      </w:r>
      <w:r>
        <w:rPr>
          <w:rFonts w:ascii="Times New Roman" w:hAnsi="Times New Roman" w:eastAsia="宋体" w:cs="Times New Roman"/>
          <w:color w:val="000000"/>
        </w:rPr>
        <w:t xml:space="preserve">, </w:t>
      </w:r>
      <w:r>
        <w:rPr>
          <w:rFonts w:ascii="Times New Roman" w:hAnsi="Times New Roman" w:eastAsia="宋体" w:cs="Times New Roman"/>
          <w:i/>
          <w:color w:val="000000"/>
        </w:rPr>
        <w:t>33</w:t>
      </w:r>
      <w:r>
        <w:rPr>
          <w:rFonts w:ascii="Times New Roman" w:hAnsi="Times New Roman" w:eastAsia="宋体" w:cs="Times New Roman"/>
          <w:color w:val="000000"/>
        </w:rPr>
        <w:t>(6), 790-804. https://doi.org/10.1080/1359432x.2024.2393462</w:t>
      </w:r>
    </w:p>
    <w:p w14:paraId="327179D1">
      <w:pPr>
        <w:ind w:left="720" w:hanging="720"/>
      </w:pPr>
      <w:r>
        <w:rPr>
          <w:rFonts w:ascii="Times New Roman" w:hAnsi="Times New Roman" w:eastAsia="宋体" w:cs="Times New Roman"/>
          <w:color w:val="000000"/>
        </w:rPr>
        <w:t xml:space="preserve">Jalees, D. T., Hussain, D. S. A., Israr, D. A., Aziz, D. A., &amp; Salman, D. S. M. (2025). Antecedents of Brand Image: A Moderated Model of Price Perception, CSR, Advertising, and Product Quality. </w:t>
      </w:r>
      <w:r>
        <w:rPr>
          <w:rFonts w:ascii="Times New Roman" w:hAnsi="Times New Roman" w:eastAsia="宋体" w:cs="Times New Roman"/>
          <w:i/>
          <w:color w:val="000000"/>
        </w:rPr>
        <w:t>The Critical Review of Social Sciences Studies</w:t>
      </w:r>
      <w:r>
        <w:rPr>
          <w:rFonts w:ascii="Times New Roman" w:hAnsi="Times New Roman" w:eastAsia="宋体" w:cs="Times New Roman"/>
          <w:color w:val="000000"/>
        </w:rPr>
        <w:t xml:space="preserve">, </w:t>
      </w:r>
      <w:r>
        <w:rPr>
          <w:rFonts w:ascii="Times New Roman" w:hAnsi="Times New Roman" w:eastAsia="宋体" w:cs="Times New Roman"/>
          <w:i/>
          <w:color w:val="000000"/>
        </w:rPr>
        <w:t>3</w:t>
      </w:r>
      <w:r>
        <w:rPr>
          <w:rFonts w:ascii="Times New Roman" w:hAnsi="Times New Roman" w:eastAsia="宋体" w:cs="Times New Roman"/>
          <w:color w:val="000000"/>
        </w:rPr>
        <w:t>(2), 2935-2951. https://doi.org/10.59075/51hfjr96</w:t>
      </w:r>
    </w:p>
    <w:p w14:paraId="2A82CB8B">
      <w:pPr>
        <w:ind w:left="720" w:hanging="720"/>
      </w:pPr>
      <w:r>
        <w:rPr>
          <w:rFonts w:ascii="Times New Roman" w:hAnsi="Times New Roman" w:eastAsia="宋体" w:cs="Times New Roman"/>
          <w:color w:val="000000"/>
        </w:rPr>
        <w:t xml:space="preserve">Kalyanaram, G. &amp; Winer, R. S. (2022). Behavioral response to price: Data-based insights and future research for retailing. </w:t>
      </w:r>
      <w:r>
        <w:rPr>
          <w:rFonts w:ascii="Times New Roman" w:hAnsi="Times New Roman" w:eastAsia="宋体" w:cs="Times New Roman"/>
          <w:i/>
          <w:color w:val="000000"/>
        </w:rPr>
        <w:t>Journal of Retailing</w:t>
      </w:r>
      <w:r>
        <w:rPr>
          <w:rFonts w:ascii="Times New Roman" w:hAnsi="Times New Roman" w:eastAsia="宋体" w:cs="Times New Roman"/>
          <w:color w:val="000000"/>
        </w:rPr>
        <w:t xml:space="preserve">, </w:t>
      </w:r>
      <w:r>
        <w:rPr>
          <w:rFonts w:ascii="Times New Roman" w:hAnsi="Times New Roman" w:eastAsia="宋体" w:cs="Times New Roman"/>
          <w:i/>
          <w:color w:val="000000"/>
        </w:rPr>
        <w:t>98</w:t>
      </w:r>
      <w:r>
        <w:rPr>
          <w:rFonts w:ascii="Times New Roman" w:hAnsi="Times New Roman" w:eastAsia="宋体" w:cs="Times New Roman"/>
          <w:color w:val="000000"/>
        </w:rPr>
        <w:t>(1), 46-70. https://doi.org/10.1016/j.jretai.2022.02.009</w:t>
      </w:r>
    </w:p>
    <w:p w14:paraId="7B1184EC">
      <w:pPr>
        <w:ind w:left="720" w:hanging="720"/>
      </w:pPr>
      <w:r>
        <w:rPr>
          <w:rFonts w:ascii="Times New Roman" w:hAnsi="Times New Roman" w:eastAsia="宋体" w:cs="Times New Roman"/>
          <w:color w:val="000000"/>
        </w:rPr>
        <w:t xml:space="preserve">Kervyn, N., Fiske, S. T., &amp; Malone, C. (2021). Social perception of brands: Warmth and competence define images of both brands and social groups. </w:t>
      </w:r>
      <w:r>
        <w:rPr>
          <w:rFonts w:ascii="Times New Roman" w:hAnsi="Times New Roman" w:eastAsia="宋体" w:cs="Times New Roman"/>
          <w:i/>
          <w:color w:val="000000"/>
        </w:rPr>
        <w:t>Consumer Psychology Review</w:t>
      </w:r>
      <w:r>
        <w:rPr>
          <w:rFonts w:ascii="Times New Roman" w:hAnsi="Times New Roman" w:eastAsia="宋体" w:cs="Times New Roman"/>
          <w:color w:val="000000"/>
        </w:rPr>
        <w:t xml:space="preserve">, </w:t>
      </w:r>
      <w:r>
        <w:rPr>
          <w:rFonts w:ascii="Times New Roman" w:hAnsi="Times New Roman" w:eastAsia="宋体" w:cs="Times New Roman"/>
          <w:i/>
          <w:color w:val="000000"/>
        </w:rPr>
        <w:t>5</w:t>
      </w:r>
      <w:r>
        <w:rPr>
          <w:rFonts w:ascii="Times New Roman" w:hAnsi="Times New Roman" w:eastAsia="宋体" w:cs="Times New Roman"/>
          <w:color w:val="000000"/>
        </w:rPr>
        <w:t>(1), 51-68. https://doi.org/10.1002/arcp.1074</w:t>
      </w:r>
    </w:p>
    <w:p w14:paraId="335703DC">
      <w:pPr>
        <w:ind w:left="720" w:hanging="720"/>
      </w:pPr>
      <w:r>
        <w:rPr>
          <w:rFonts w:ascii="Times New Roman" w:hAnsi="Times New Roman" w:eastAsia="宋体" w:cs="Times New Roman"/>
          <w:color w:val="000000"/>
        </w:rPr>
        <w:t xml:space="preserve">Kittur, P. &amp; Chatterjee, S. (2023). Role of B2B reliance and brand image in reducing risk perceptions: a serial mediation model. </w:t>
      </w:r>
      <w:r>
        <w:rPr>
          <w:rFonts w:ascii="Times New Roman" w:hAnsi="Times New Roman" w:eastAsia="宋体" w:cs="Times New Roman"/>
          <w:i/>
          <w:color w:val="000000"/>
        </w:rPr>
        <w:t>European Journal of Marketing</w:t>
      </w:r>
      <w:r>
        <w:rPr>
          <w:rFonts w:ascii="Times New Roman" w:hAnsi="Times New Roman" w:eastAsia="宋体" w:cs="Times New Roman"/>
          <w:color w:val="000000"/>
        </w:rPr>
        <w:t xml:space="preserve">, </w:t>
      </w:r>
      <w:r>
        <w:rPr>
          <w:rFonts w:ascii="Times New Roman" w:hAnsi="Times New Roman" w:eastAsia="宋体" w:cs="Times New Roman"/>
          <w:i/>
          <w:color w:val="000000"/>
        </w:rPr>
        <w:t>57</w:t>
      </w:r>
      <w:r>
        <w:rPr>
          <w:rFonts w:ascii="Times New Roman" w:hAnsi="Times New Roman" w:eastAsia="宋体" w:cs="Times New Roman"/>
          <w:color w:val="000000"/>
        </w:rPr>
        <w:t>(4), 1068-1098. https://doi.org/10.1108/ejm-05-2022-0362</w:t>
      </w:r>
    </w:p>
    <w:p w14:paraId="61A516FD">
      <w:pPr>
        <w:ind w:left="720" w:hanging="720"/>
      </w:pPr>
      <w:r>
        <w:rPr>
          <w:rFonts w:ascii="Times New Roman" w:hAnsi="Times New Roman" w:eastAsia="宋体" w:cs="Times New Roman"/>
          <w:color w:val="000000"/>
        </w:rPr>
        <w:t xml:space="preserve">Kolbl, Ž., Diamantopoulos, A., Arslanagic-Kalajdzic, M., &amp; Zabkar, V. (2020). Do brand warmth and brand competence add value to consumers? A stereotyping perspective. </w:t>
      </w:r>
      <w:r>
        <w:rPr>
          <w:rFonts w:ascii="Times New Roman" w:hAnsi="Times New Roman" w:eastAsia="宋体" w:cs="Times New Roman"/>
          <w:i/>
          <w:color w:val="000000"/>
        </w:rPr>
        <w:t>Journal of Business Research</w:t>
      </w:r>
      <w:r>
        <w:rPr>
          <w:rFonts w:ascii="Times New Roman" w:hAnsi="Times New Roman" w:eastAsia="宋体" w:cs="Times New Roman"/>
          <w:color w:val="000000"/>
        </w:rPr>
        <w:t xml:space="preserve">, </w:t>
      </w:r>
      <w:r>
        <w:rPr>
          <w:rFonts w:ascii="Times New Roman" w:hAnsi="Times New Roman" w:eastAsia="宋体" w:cs="Times New Roman"/>
          <w:i/>
          <w:color w:val="000000"/>
        </w:rPr>
        <w:t>118</w:t>
      </w:r>
      <w:r>
        <w:rPr>
          <w:rFonts w:ascii="Times New Roman" w:hAnsi="Times New Roman" w:eastAsia="宋体" w:cs="Times New Roman"/>
          <w:color w:val="000000"/>
        </w:rPr>
        <w:t>, 346-362. https://doi.org/10.1016/j.jbusres.2020.06.048</w:t>
      </w:r>
    </w:p>
    <w:p w14:paraId="138342F2">
      <w:pPr>
        <w:ind w:left="720" w:hanging="720"/>
      </w:pPr>
      <w:r>
        <w:rPr>
          <w:rFonts w:ascii="Times New Roman" w:hAnsi="Times New Roman" w:eastAsia="宋体" w:cs="Times New Roman"/>
          <w:color w:val="000000"/>
        </w:rPr>
        <w:t xml:space="preserve">Kong, X. &amp; Zhang, Y. (2024). Analysis of the Communication and Influence Mechanism of Consumer Emotional Value in Social Media Marketing. </w:t>
      </w:r>
      <w:r>
        <w:rPr>
          <w:rFonts w:ascii="Times New Roman" w:hAnsi="Times New Roman" w:eastAsia="宋体" w:cs="Times New Roman"/>
          <w:i/>
          <w:color w:val="000000"/>
        </w:rPr>
        <w:t>Academic Journal of Business &amp;amp; Management</w:t>
      </w:r>
      <w:r>
        <w:rPr>
          <w:rFonts w:ascii="Times New Roman" w:hAnsi="Times New Roman" w:eastAsia="宋体" w:cs="Times New Roman"/>
          <w:color w:val="000000"/>
        </w:rPr>
        <w:t xml:space="preserve">, </w:t>
      </w:r>
      <w:r>
        <w:rPr>
          <w:rFonts w:ascii="Times New Roman" w:hAnsi="Times New Roman" w:eastAsia="宋体" w:cs="Times New Roman"/>
          <w:i/>
          <w:color w:val="000000"/>
        </w:rPr>
        <w:t>6</w:t>
      </w:r>
      <w:r>
        <w:rPr>
          <w:rFonts w:ascii="Times New Roman" w:hAnsi="Times New Roman" w:eastAsia="宋体" w:cs="Times New Roman"/>
          <w:color w:val="000000"/>
        </w:rPr>
        <w:t>(8). https://doi.org/10.25236/ajbm.2024.060807</w:t>
      </w:r>
    </w:p>
    <w:p w14:paraId="62FE7413">
      <w:pPr>
        <w:ind w:left="720" w:hanging="720"/>
      </w:pPr>
      <w:r>
        <w:rPr>
          <w:rFonts w:ascii="Times New Roman" w:hAnsi="Times New Roman" w:eastAsia="宋体" w:cs="Times New Roman"/>
          <w:color w:val="000000"/>
        </w:rPr>
        <w:t xml:space="preserve">Kumar, J. R., Saha, R., Manohar, S., &amp; Sekar, P. (2020). Retail brand equity: moderating role of retail price deals on retail brand association and retail brand equity relationship. </w:t>
      </w:r>
      <w:r>
        <w:rPr>
          <w:rFonts w:ascii="Times New Roman" w:hAnsi="Times New Roman" w:eastAsia="宋体" w:cs="Times New Roman"/>
          <w:i/>
          <w:color w:val="000000"/>
        </w:rPr>
        <w:t>International Journal of Business Innovation and Research</w:t>
      </w:r>
      <w:r>
        <w:rPr>
          <w:rFonts w:ascii="Times New Roman" w:hAnsi="Times New Roman" w:eastAsia="宋体" w:cs="Times New Roman"/>
          <w:color w:val="000000"/>
        </w:rPr>
        <w:t xml:space="preserve">, </w:t>
      </w:r>
      <w:r>
        <w:rPr>
          <w:rFonts w:ascii="Times New Roman" w:hAnsi="Times New Roman" w:eastAsia="宋体" w:cs="Times New Roman"/>
          <w:i/>
          <w:color w:val="000000"/>
        </w:rPr>
        <w:t>21</w:t>
      </w:r>
      <w:r>
        <w:rPr>
          <w:rFonts w:ascii="Times New Roman" w:hAnsi="Times New Roman" w:eastAsia="宋体" w:cs="Times New Roman"/>
          <w:color w:val="000000"/>
        </w:rPr>
        <w:t>(2), 217. https://doi.org/10.1504/ijbir.2020.104815</w:t>
      </w:r>
    </w:p>
    <w:p w14:paraId="4DF617C6">
      <w:pPr>
        <w:ind w:left="720" w:hanging="720"/>
      </w:pPr>
      <w:r>
        <w:rPr>
          <w:rFonts w:ascii="Times New Roman" w:hAnsi="Times New Roman" w:eastAsia="宋体" w:cs="Times New Roman"/>
          <w:color w:val="000000"/>
        </w:rPr>
        <w:t xml:space="preserve">Ladeira, W., Rasul, T., Perin, M. G., &amp; Santini, F. (2023). The bright side of disorganization: When surprise generates low-price signals. </w:t>
      </w:r>
      <w:r>
        <w:rPr>
          <w:rFonts w:ascii="Times New Roman" w:hAnsi="Times New Roman" w:eastAsia="宋体" w:cs="Times New Roman"/>
          <w:i/>
          <w:color w:val="000000"/>
        </w:rPr>
        <w:t>Journal of Retailing and Consumer Services</w:t>
      </w:r>
      <w:r>
        <w:rPr>
          <w:rFonts w:ascii="Times New Roman" w:hAnsi="Times New Roman" w:eastAsia="宋体" w:cs="Times New Roman"/>
          <w:color w:val="000000"/>
        </w:rPr>
        <w:t xml:space="preserve">, </w:t>
      </w:r>
      <w:r>
        <w:rPr>
          <w:rFonts w:ascii="Times New Roman" w:hAnsi="Times New Roman" w:eastAsia="宋体" w:cs="Times New Roman"/>
          <w:i/>
          <w:color w:val="000000"/>
        </w:rPr>
        <w:t>73</w:t>
      </w:r>
      <w:r>
        <w:rPr>
          <w:rFonts w:ascii="Times New Roman" w:hAnsi="Times New Roman" w:eastAsia="宋体" w:cs="Times New Roman"/>
          <w:color w:val="000000"/>
        </w:rPr>
        <w:t>, 103340. https://doi.org/10.1016/j.jretconser.2023.103340</w:t>
      </w:r>
    </w:p>
    <w:p w14:paraId="1B217E19">
      <w:pPr>
        <w:ind w:left="720" w:hanging="720"/>
      </w:pPr>
      <w:r>
        <w:rPr>
          <w:rFonts w:ascii="Times New Roman" w:hAnsi="Times New Roman" w:eastAsia="宋体" w:cs="Times New Roman"/>
          <w:color w:val="000000"/>
        </w:rPr>
        <w:t xml:space="preserve">Levrini, G. R. D. &amp; Santos, M. J. D. (2021). The Influence of Price on Purchase Intentions: Comparative Study between Cognitive, Sensory, and Neurophysiological Experiments. </w:t>
      </w:r>
      <w:r>
        <w:rPr>
          <w:rFonts w:ascii="Times New Roman" w:hAnsi="Times New Roman" w:eastAsia="宋体" w:cs="Times New Roman"/>
          <w:i/>
          <w:color w:val="000000"/>
        </w:rPr>
        <w:t>Behavioral Science</w:t>
      </w:r>
      <w:r>
        <w:rPr>
          <w:rFonts w:ascii="Times New Roman" w:hAnsi="Times New Roman" w:eastAsia="宋体" w:cs="Times New Roman"/>
          <w:color w:val="000000"/>
        </w:rPr>
        <w:t xml:space="preserve">, </w:t>
      </w:r>
      <w:r>
        <w:rPr>
          <w:rFonts w:ascii="Times New Roman" w:hAnsi="Times New Roman" w:eastAsia="宋体" w:cs="Times New Roman"/>
          <w:i/>
          <w:color w:val="000000"/>
        </w:rPr>
        <w:t>11</w:t>
      </w:r>
      <w:r>
        <w:rPr>
          <w:rFonts w:ascii="Times New Roman" w:hAnsi="Times New Roman" w:eastAsia="宋体" w:cs="Times New Roman"/>
          <w:color w:val="000000"/>
        </w:rPr>
        <w:t>(2), 16. https://doi.org/10.3390/bs11020016</w:t>
      </w:r>
    </w:p>
    <w:p w14:paraId="4921B853">
      <w:pPr>
        <w:ind w:left="720" w:hanging="720"/>
      </w:pPr>
      <w:r>
        <w:rPr>
          <w:rFonts w:ascii="Times New Roman" w:hAnsi="Times New Roman" w:eastAsia="宋体" w:cs="Times New Roman"/>
          <w:color w:val="000000"/>
        </w:rPr>
        <w:t xml:space="preserve">Marrie, R. A., McFadyen, C., Yaeger, L., &amp; Salter, A. (2022). A Systematic Review of the Validity and Reliability of the Patient-Determined Disease Steps Scale. </w:t>
      </w:r>
      <w:r>
        <w:rPr>
          <w:rFonts w:ascii="Times New Roman" w:hAnsi="Times New Roman" w:eastAsia="宋体" w:cs="Times New Roman"/>
          <w:i/>
          <w:color w:val="000000"/>
        </w:rPr>
        <w:t>International Journal of MS Care</w:t>
      </w:r>
      <w:r>
        <w:rPr>
          <w:rFonts w:ascii="Times New Roman" w:hAnsi="Times New Roman" w:eastAsia="宋体" w:cs="Times New Roman"/>
          <w:color w:val="000000"/>
        </w:rPr>
        <w:t xml:space="preserve">, </w:t>
      </w:r>
      <w:r>
        <w:rPr>
          <w:rFonts w:ascii="Times New Roman" w:hAnsi="Times New Roman" w:eastAsia="宋体" w:cs="Times New Roman"/>
          <w:i/>
          <w:color w:val="000000"/>
        </w:rPr>
        <w:t>25</w:t>
      </w:r>
      <w:r>
        <w:rPr>
          <w:rFonts w:ascii="Times New Roman" w:hAnsi="Times New Roman" w:eastAsia="宋体" w:cs="Times New Roman"/>
          <w:color w:val="000000"/>
        </w:rPr>
        <w:t>(1), 20-25. https://doi.org/10.7224/1537-2073.2021-102</w:t>
      </w:r>
    </w:p>
    <w:p w14:paraId="14533764">
      <w:pPr>
        <w:ind w:left="720" w:hanging="720"/>
      </w:pPr>
      <w:r>
        <w:rPr>
          <w:rFonts w:ascii="Times New Roman" w:hAnsi="Times New Roman" w:eastAsia="宋体" w:cs="Times New Roman"/>
          <w:color w:val="000000"/>
        </w:rPr>
        <w:t xml:space="preserve">Min, B. (2022). Interplay of consumer expectation and processing fluency in perception of product innovativeness and product evaluation. </w:t>
      </w:r>
      <w:r>
        <w:rPr>
          <w:rFonts w:ascii="Times New Roman" w:hAnsi="Times New Roman" w:eastAsia="宋体" w:cs="Times New Roman"/>
          <w:i/>
          <w:color w:val="000000"/>
        </w:rPr>
        <w:t>European Journal of Marketing</w:t>
      </w:r>
      <w:r>
        <w:rPr>
          <w:rFonts w:ascii="Times New Roman" w:hAnsi="Times New Roman" w:eastAsia="宋体" w:cs="Times New Roman"/>
          <w:color w:val="000000"/>
        </w:rPr>
        <w:t xml:space="preserve">, </w:t>
      </w:r>
      <w:r>
        <w:rPr>
          <w:rFonts w:ascii="Times New Roman" w:hAnsi="Times New Roman" w:eastAsia="宋体" w:cs="Times New Roman"/>
          <w:i/>
          <w:color w:val="000000"/>
        </w:rPr>
        <w:t>57</w:t>
      </w:r>
      <w:r>
        <w:rPr>
          <w:rFonts w:ascii="Times New Roman" w:hAnsi="Times New Roman" w:eastAsia="宋体" w:cs="Times New Roman"/>
          <w:color w:val="000000"/>
        </w:rPr>
        <w:t>(1), 283-324. https://doi.org/10.1108/ejm-08-2021-0603</w:t>
      </w:r>
    </w:p>
    <w:p w14:paraId="03208A96">
      <w:pPr>
        <w:ind w:left="720" w:hanging="720"/>
      </w:pPr>
      <w:r>
        <w:rPr>
          <w:rFonts w:ascii="Times New Roman" w:hAnsi="Times New Roman" w:eastAsia="宋体" w:cs="Times New Roman"/>
          <w:color w:val="000000"/>
        </w:rPr>
        <w:t xml:space="preserve">Mingione, M., Cristofaro, M., &amp; Mondi, D. (2020). 'If I give you my emotion, what do I get?' Conceptualizing and measuring the co-created emotional value of the brand. </w:t>
      </w:r>
      <w:r>
        <w:rPr>
          <w:rFonts w:ascii="Times New Roman" w:hAnsi="Times New Roman" w:eastAsia="宋体" w:cs="Times New Roman"/>
          <w:i/>
          <w:color w:val="000000"/>
        </w:rPr>
        <w:t>Journal of Business Research</w:t>
      </w:r>
      <w:r>
        <w:rPr>
          <w:rFonts w:ascii="Times New Roman" w:hAnsi="Times New Roman" w:eastAsia="宋体" w:cs="Times New Roman"/>
          <w:color w:val="000000"/>
        </w:rPr>
        <w:t xml:space="preserve">, </w:t>
      </w:r>
      <w:r>
        <w:rPr>
          <w:rFonts w:ascii="Times New Roman" w:hAnsi="Times New Roman" w:eastAsia="宋体" w:cs="Times New Roman"/>
          <w:i/>
          <w:color w:val="000000"/>
        </w:rPr>
        <w:t>109</w:t>
      </w:r>
      <w:r>
        <w:rPr>
          <w:rFonts w:ascii="Times New Roman" w:hAnsi="Times New Roman" w:eastAsia="宋体" w:cs="Times New Roman"/>
          <w:color w:val="000000"/>
        </w:rPr>
        <w:t>, 310-320. https://doi.org/10.1016/j.jbusres.2019.11.071</w:t>
      </w:r>
    </w:p>
    <w:p w14:paraId="4518AAAF">
      <w:pPr>
        <w:ind w:left="720" w:hanging="720"/>
      </w:pPr>
      <w:r>
        <w:rPr>
          <w:rFonts w:ascii="Times New Roman" w:hAnsi="Times New Roman" w:eastAsia="宋体" w:cs="Times New Roman"/>
          <w:color w:val="000000"/>
        </w:rPr>
        <w:t xml:space="preserve">Pandey, C. S., Pandey, S. R., Mishra, P., &amp; Pandey, S. (2025). Development and validation of Students’ Library Alienation Scale (SLAS): a factor analysis approach. </w:t>
      </w:r>
      <w:r>
        <w:rPr>
          <w:rFonts w:ascii="Times New Roman" w:hAnsi="Times New Roman" w:eastAsia="宋体" w:cs="Times New Roman"/>
          <w:i/>
          <w:color w:val="000000"/>
        </w:rPr>
        <w:t>Reference Services Review</w:t>
      </w:r>
      <w:r>
        <w:rPr>
          <w:rFonts w:ascii="Times New Roman" w:hAnsi="Times New Roman" w:eastAsia="宋体" w:cs="Times New Roman"/>
          <w:color w:val="000000"/>
        </w:rPr>
        <w:t xml:space="preserve">, </w:t>
      </w:r>
      <w:r>
        <w:rPr>
          <w:rFonts w:ascii="Times New Roman" w:hAnsi="Times New Roman" w:eastAsia="宋体" w:cs="Times New Roman"/>
          <w:i/>
          <w:color w:val="000000"/>
        </w:rPr>
        <w:t>53</w:t>
      </w:r>
      <w:r>
        <w:rPr>
          <w:rFonts w:ascii="Times New Roman" w:hAnsi="Times New Roman" w:eastAsia="宋体" w:cs="Times New Roman"/>
          <w:color w:val="000000"/>
        </w:rPr>
        <w:t>(3-4), 273-293. https://doi.org/10.1108/rsr-12-2024-0080</w:t>
      </w:r>
    </w:p>
    <w:p w14:paraId="66405C99">
      <w:pPr>
        <w:ind w:left="720" w:hanging="720"/>
      </w:pPr>
      <w:r>
        <w:rPr>
          <w:rFonts w:ascii="Times New Roman" w:hAnsi="Times New Roman" w:eastAsia="宋体" w:cs="Times New Roman"/>
          <w:color w:val="000000"/>
        </w:rPr>
        <w:t xml:space="preserve">Pina, R. &amp; Dias, Á. (2020). The influence of brand experiences on consumer-based brand equity. </w:t>
      </w:r>
      <w:r>
        <w:rPr>
          <w:rFonts w:ascii="Times New Roman" w:hAnsi="Times New Roman" w:eastAsia="宋体" w:cs="Times New Roman"/>
          <w:i/>
          <w:color w:val="000000"/>
        </w:rPr>
        <w:t>Journal of Brand Management</w:t>
      </w:r>
      <w:r>
        <w:rPr>
          <w:rFonts w:ascii="Times New Roman" w:hAnsi="Times New Roman" w:eastAsia="宋体" w:cs="Times New Roman"/>
          <w:color w:val="000000"/>
        </w:rPr>
        <w:t xml:space="preserve">, </w:t>
      </w:r>
      <w:r>
        <w:rPr>
          <w:rFonts w:ascii="Times New Roman" w:hAnsi="Times New Roman" w:eastAsia="宋体" w:cs="Times New Roman"/>
          <w:i/>
          <w:color w:val="000000"/>
        </w:rPr>
        <w:t>28</w:t>
      </w:r>
      <w:r>
        <w:rPr>
          <w:rFonts w:ascii="Times New Roman" w:hAnsi="Times New Roman" w:eastAsia="宋体" w:cs="Times New Roman"/>
          <w:color w:val="000000"/>
        </w:rPr>
        <w:t>(2), 99-115. https://doi.org/10.1057/s41262-020-00215-5</w:t>
      </w:r>
    </w:p>
    <w:p w14:paraId="2C469075">
      <w:pPr>
        <w:ind w:left="720" w:hanging="720"/>
      </w:pPr>
      <w:r>
        <w:rPr>
          <w:rFonts w:ascii="Times New Roman" w:hAnsi="Times New Roman" w:eastAsia="宋体" w:cs="Times New Roman"/>
          <w:color w:val="000000"/>
        </w:rPr>
        <w:t xml:space="preserve">Rehman, A. U. &amp; Elahi, Y. A. (2024). How semiotic product packaging, brand image, perceived brand quality influence brand loyalty and purchase intention: a stimulus-organism-response perspective. </w:t>
      </w:r>
      <w:r>
        <w:rPr>
          <w:rFonts w:ascii="Times New Roman" w:hAnsi="Times New Roman" w:eastAsia="宋体" w:cs="Times New Roman"/>
          <w:i/>
          <w:color w:val="000000"/>
        </w:rPr>
        <w:t>Asia Pacific Journal of Marketing and Logistics</w:t>
      </w:r>
      <w:r>
        <w:rPr>
          <w:rFonts w:ascii="Times New Roman" w:hAnsi="Times New Roman" w:eastAsia="宋体" w:cs="Times New Roman"/>
          <w:color w:val="000000"/>
        </w:rPr>
        <w:t xml:space="preserve">, </w:t>
      </w:r>
      <w:r>
        <w:rPr>
          <w:rFonts w:ascii="Times New Roman" w:hAnsi="Times New Roman" w:eastAsia="宋体" w:cs="Times New Roman"/>
          <w:i/>
          <w:color w:val="000000"/>
        </w:rPr>
        <w:t>36</w:t>
      </w:r>
      <w:r>
        <w:rPr>
          <w:rFonts w:ascii="Times New Roman" w:hAnsi="Times New Roman" w:eastAsia="宋体" w:cs="Times New Roman"/>
          <w:color w:val="000000"/>
        </w:rPr>
        <w:t>(11), 3043-3060. https://doi.org/10.1108/apjml-12-2023-1237</w:t>
      </w:r>
    </w:p>
    <w:p w14:paraId="28FDB85F">
      <w:pPr>
        <w:ind w:left="720" w:hanging="720"/>
      </w:pPr>
      <w:r>
        <w:rPr>
          <w:rFonts w:ascii="Times New Roman" w:hAnsi="Times New Roman" w:eastAsia="宋体" w:cs="Times New Roman"/>
          <w:color w:val="000000"/>
        </w:rPr>
        <w:t xml:space="preserve">Sabir, S. S. (2020). Does product design stimulate customer satisfaction? Mediating role of affect. </w:t>
      </w:r>
      <w:r>
        <w:rPr>
          <w:rFonts w:ascii="Times New Roman" w:hAnsi="Times New Roman" w:eastAsia="宋体" w:cs="Times New Roman"/>
          <w:i/>
          <w:color w:val="000000"/>
        </w:rPr>
        <w:t>Asia Pacific Journal of Marketing and Logistics</w:t>
      </w:r>
      <w:r>
        <w:rPr>
          <w:rFonts w:ascii="Times New Roman" w:hAnsi="Times New Roman" w:eastAsia="宋体" w:cs="Times New Roman"/>
          <w:color w:val="000000"/>
        </w:rPr>
        <w:t xml:space="preserve">, </w:t>
      </w:r>
      <w:r>
        <w:rPr>
          <w:rFonts w:ascii="Times New Roman" w:hAnsi="Times New Roman" w:eastAsia="宋体" w:cs="Times New Roman"/>
          <w:i/>
          <w:color w:val="000000"/>
        </w:rPr>
        <w:t>32</w:t>
      </w:r>
      <w:r>
        <w:rPr>
          <w:rFonts w:ascii="Times New Roman" w:hAnsi="Times New Roman" w:eastAsia="宋体" w:cs="Times New Roman"/>
          <w:color w:val="000000"/>
        </w:rPr>
        <w:t>(6), 1255-1268. https://doi.org/10.1108/apjml-03-2019-0216</w:t>
      </w:r>
    </w:p>
    <w:p w14:paraId="42BAE833">
      <w:pPr>
        <w:ind w:left="720" w:hanging="720"/>
      </w:pPr>
      <w:r>
        <w:rPr>
          <w:rFonts w:ascii="Times New Roman" w:hAnsi="Times New Roman" w:eastAsia="宋体" w:cs="Times New Roman"/>
          <w:color w:val="000000"/>
        </w:rPr>
        <w:t xml:space="preserve">Serra-Cantallops, A., Cardona, J. R., &amp; Salvi, F. (2020). Antecedents of positive eWOM in hotels. Exploring the relative role of satisfaction, quality and positive emotional experiences. </w:t>
      </w:r>
      <w:r>
        <w:rPr>
          <w:rFonts w:ascii="Times New Roman" w:hAnsi="Times New Roman" w:eastAsia="宋体" w:cs="Times New Roman"/>
          <w:i/>
          <w:color w:val="000000"/>
        </w:rPr>
        <w:t>International Journal of Contemporary Hospitality Management</w:t>
      </w:r>
      <w:r>
        <w:rPr>
          <w:rFonts w:ascii="Times New Roman" w:hAnsi="Times New Roman" w:eastAsia="宋体" w:cs="Times New Roman"/>
          <w:color w:val="000000"/>
        </w:rPr>
        <w:t xml:space="preserve">, </w:t>
      </w:r>
      <w:r>
        <w:rPr>
          <w:rFonts w:ascii="Times New Roman" w:hAnsi="Times New Roman" w:eastAsia="宋体" w:cs="Times New Roman"/>
          <w:i/>
          <w:color w:val="000000"/>
        </w:rPr>
        <w:t>32</w:t>
      </w:r>
      <w:r>
        <w:rPr>
          <w:rFonts w:ascii="Times New Roman" w:hAnsi="Times New Roman" w:eastAsia="宋体" w:cs="Times New Roman"/>
          <w:color w:val="000000"/>
        </w:rPr>
        <w:t>(11), 3457-3477. https://doi.org/10.1108/ijchm-02-2020-0113</w:t>
      </w:r>
    </w:p>
    <w:p w14:paraId="27891CC2">
      <w:pPr>
        <w:ind w:left="720" w:hanging="720"/>
      </w:pPr>
      <w:r>
        <w:rPr>
          <w:rFonts w:ascii="Times New Roman" w:hAnsi="Times New Roman" w:eastAsia="宋体" w:cs="Times New Roman"/>
          <w:color w:val="000000"/>
        </w:rPr>
        <w:t xml:space="preserve">Snyder, H. (2023). Designing the literature review for a strong contribution. </w:t>
      </w:r>
      <w:r>
        <w:rPr>
          <w:rFonts w:ascii="Times New Roman" w:hAnsi="Times New Roman" w:eastAsia="宋体" w:cs="Times New Roman"/>
          <w:i/>
          <w:color w:val="000000"/>
        </w:rPr>
        <w:t>Journal of Decision Systems</w:t>
      </w:r>
      <w:r>
        <w:rPr>
          <w:rFonts w:ascii="Times New Roman" w:hAnsi="Times New Roman" w:eastAsia="宋体" w:cs="Times New Roman"/>
          <w:color w:val="000000"/>
        </w:rPr>
        <w:t xml:space="preserve">, </w:t>
      </w:r>
      <w:r>
        <w:rPr>
          <w:rFonts w:ascii="Times New Roman" w:hAnsi="Times New Roman" w:eastAsia="宋体" w:cs="Times New Roman"/>
          <w:i/>
          <w:color w:val="000000"/>
        </w:rPr>
        <w:t>33</w:t>
      </w:r>
      <w:r>
        <w:rPr>
          <w:rFonts w:ascii="Times New Roman" w:hAnsi="Times New Roman" w:eastAsia="宋体" w:cs="Times New Roman"/>
          <w:color w:val="000000"/>
        </w:rPr>
        <w:t>(4), 551-558. https://doi.org/10.1080/12460125.2023.2197704</w:t>
      </w:r>
    </w:p>
    <w:p w14:paraId="0963FE19">
      <w:pPr>
        <w:ind w:left="720" w:hanging="720"/>
      </w:pPr>
      <w:r>
        <w:rPr>
          <w:rFonts w:ascii="Times New Roman" w:hAnsi="Times New Roman" w:eastAsia="宋体" w:cs="Times New Roman"/>
          <w:color w:val="000000"/>
        </w:rPr>
        <w:t xml:space="preserve">Sung, B., Macchia, S. L., &amp; Stankovic, M. (2023). Agency appraisal of emotions and brand trust. </w:t>
      </w:r>
      <w:r>
        <w:rPr>
          <w:rFonts w:ascii="Times New Roman" w:hAnsi="Times New Roman" w:eastAsia="宋体" w:cs="Times New Roman"/>
          <w:i/>
          <w:color w:val="000000"/>
        </w:rPr>
        <w:t>European Journal of Marketing</w:t>
      </w:r>
      <w:r>
        <w:rPr>
          <w:rFonts w:ascii="Times New Roman" w:hAnsi="Times New Roman" w:eastAsia="宋体" w:cs="Times New Roman"/>
          <w:color w:val="000000"/>
        </w:rPr>
        <w:t xml:space="preserve">, </w:t>
      </w:r>
      <w:r>
        <w:rPr>
          <w:rFonts w:ascii="Times New Roman" w:hAnsi="Times New Roman" w:eastAsia="宋体" w:cs="Times New Roman"/>
          <w:i/>
          <w:color w:val="000000"/>
        </w:rPr>
        <w:t>57</w:t>
      </w:r>
      <w:r>
        <w:rPr>
          <w:rFonts w:ascii="Times New Roman" w:hAnsi="Times New Roman" w:eastAsia="宋体" w:cs="Times New Roman"/>
          <w:color w:val="000000"/>
        </w:rPr>
        <w:t>(9), 2486-2512. https://doi.org/10.1108/ejm-06-2021-0402</w:t>
      </w:r>
    </w:p>
    <w:p w14:paraId="0DBE62DD">
      <w:pPr>
        <w:ind w:left="720" w:hanging="720"/>
      </w:pPr>
      <w:r>
        <w:rPr>
          <w:rFonts w:ascii="Times New Roman" w:hAnsi="Times New Roman" w:eastAsia="宋体" w:cs="Times New Roman"/>
          <w:color w:val="000000"/>
        </w:rPr>
        <w:t xml:space="preserve">Topkara, F. N., Dağlı, E., &amp; Reyhan, F. A. (2025). Traumatic breastfeeding experience in women: Scale development, validity and reliability study. </w:t>
      </w:r>
      <w:r>
        <w:rPr>
          <w:rFonts w:ascii="Times New Roman" w:hAnsi="Times New Roman" w:eastAsia="宋体" w:cs="Times New Roman"/>
          <w:i/>
          <w:color w:val="000000"/>
        </w:rPr>
        <w:t>Midwifery</w:t>
      </w:r>
      <w:r>
        <w:rPr>
          <w:rFonts w:ascii="Times New Roman" w:hAnsi="Times New Roman" w:eastAsia="宋体" w:cs="Times New Roman"/>
          <w:color w:val="000000"/>
        </w:rPr>
        <w:t xml:space="preserve">, </w:t>
      </w:r>
      <w:r>
        <w:rPr>
          <w:rFonts w:ascii="Times New Roman" w:hAnsi="Times New Roman" w:eastAsia="宋体" w:cs="Times New Roman"/>
          <w:i/>
          <w:color w:val="000000"/>
        </w:rPr>
        <w:t>148</w:t>
      </w:r>
      <w:r>
        <w:rPr>
          <w:rFonts w:ascii="Times New Roman" w:hAnsi="Times New Roman" w:eastAsia="宋体" w:cs="Times New Roman"/>
          <w:color w:val="000000"/>
        </w:rPr>
        <w:t>, 104490. https://doi.org/10.1016/j.midw.2025.104490</w:t>
      </w:r>
    </w:p>
    <w:p w14:paraId="0F768818">
      <w:pPr>
        <w:ind w:left="720" w:hanging="720"/>
      </w:pPr>
      <w:r>
        <w:rPr>
          <w:rFonts w:ascii="Times New Roman" w:hAnsi="Times New Roman" w:eastAsia="宋体" w:cs="Times New Roman"/>
          <w:color w:val="000000"/>
        </w:rPr>
        <w:t xml:space="preserve">Tziner, A., Vasiliu, C., Dinu, V., &amp; Tăchiciu, L. (2025). A Moderated Mediation Analysis of the Relationship between Fixed Assets and Sales Value of the Largest Retailers in Romania. </w:t>
      </w:r>
      <w:r>
        <w:rPr>
          <w:rFonts w:ascii="Times New Roman" w:hAnsi="Times New Roman" w:eastAsia="宋体" w:cs="Times New Roman"/>
          <w:i/>
          <w:color w:val="000000"/>
        </w:rPr>
        <w:t>New Trends in Sustainable Business and Consumption</w:t>
      </w:r>
      <w:r>
        <w:rPr>
          <w:rFonts w:ascii="Times New Roman" w:hAnsi="Times New Roman" w:eastAsia="宋体" w:cs="Times New Roman"/>
          <w:color w:val="000000"/>
        </w:rPr>
        <w:t>, 277-284. https://doi.org/10.24818/basiq/2025/11/001</w:t>
      </w:r>
    </w:p>
    <w:p w14:paraId="76DD0D81">
      <w:pPr>
        <w:ind w:left="720" w:hanging="720"/>
      </w:pPr>
      <w:r>
        <w:rPr>
          <w:rFonts w:ascii="Times New Roman" w:hAnsi="Times New Roman" w:eastAsia="宋体" w:cs="Times New Roman"/>
          <w:color w:val="000000"/>
        </w:rPr>
        <w:t xml:space="preserve">Valueva, E. А. &amp; Lapteva, N. M. (2023). “AHA!” AND “OH YES!”: HOW EMOTIONS AFFECT INSIGHT EXPERIENCE. </w:t>
      </w:r>
      <w:r>
        <w:rPr>
          <w:rFonts w:ascii="Times New Roman" w:hAnsi="Times New Roman" w:eastAsia="宋体" w:cs="Times New Roman"/>
          <w:i/>
          <w:color w:val="000000"/>
        </w:rPr>
        <w:t>Психология. Журнал Высшей школы экономики</w:t>
      </w:r>
      <w:r>
        <w:rPr>
          <w:rFonts w:ascii="Times New Roman" w:hAnsi="Times New Roman" w:eastAsia="宋体" w:cs="Times New Roman"/>
          <w:color w:val="000000"/>
        </w:rPr>
        <w:t xml:space="preserve">, </w:t>
      </w:r>
      <w:r>
        <w:rPr>
          <w:rFonts w:ascii="Times New Roman" w:hAnsi="Times New Roman" w:eastAsia="宋体" w:cs="Times New Roman"/>
          <w:i/>
          <w:color w:val="000000"/>
        </w:rPr>
        <w:t>20</w:t>
      </w:r>
      <w:r>
        <w:rPr>
          <w:rFonts w:ascii="Times New Roman" w:hAnsi="Times New Roman" w:eastAsia="宋体" w:cs="Times New Roman"/>
          <w:color w:val="000000"/>
        </w:rPr>
        <w:t>(3), 428-444. https://doi.org/10.17323/1813-8918-2023-3-428-444</w:t>
      </w:r>
    </w:p>
    <w:p w14:paraId="08964D91">
      <w:pPr>
        <w:ind w:left="720" w:hanging="720"/>
      </w:pPr>
      <w:r>
        <w:rPr>
          <w:rFonts w:ascii="Times New Roman" w:hAnsi="Times New Roman" w:eastAsia="宋体" w:cs="Times New Roman"/>
          <w:color w:val="000000"/>
        </w:rPr>
        <w:t xml:space="preserve">Wijaya, D. H. &amp; Mansur, A. (2025). The Power of Brand Love: Unlocking Loyalty Through Image, Trust, and Satisfaction. </w:t>
      </w:r>
      <w:r>
        <w:rPr>
          <w:rFonts w:ascii="Times New Roman" w:hAnsi="Times New Roman" w:eastAsia="宋体" w:cs="Times New Roman"/>
          <w:i/>
          <w:color w:val="000000"/>
        </w:rPr>
        <w:t>Research of Economics and Business</w:t>
      </w:r>
      <w:r>
        <w:rPr>
          <w:rFonts w:ascii="Times New Roman" w:hAnsi="Times New Roman" w:eastAsia="宋体" w:cs="Times New Roman"/>
          <w:color w:val="000000"/>
        </w:rPr>
        <w:t xml:space="preserve">, </w:t>
      </w:r>
      <w:r>
        <w:rPr>
          <w:rFonts w:ascii="Times New Roman" w:hAnsi="Times New Roman" w:eastAsia="宋体" w:cs="Times New Roman"/>
          <w:i/>
          <w:color w:val="000000"/>
        </w:rPr>
        <w:t>3</w:t>
      </w:r>
      <w:r>
        <w:rPr>
          <w:rFonts w:ascii="Times New Roman" w:hAnsi="Times New Roman" w:eastAsia="宋体" w:cs="Times New Roman"/>
          <w:color w:val="000000"/>
        </w:rPr>
        <w:t>(2), 79-92. https://doi.org/10.58777/reb.v3i2.418</w:t>
      </w:r>
    </w:p>
    <w:p w14:paraId="19DEEAB2">
      <w:pPr>
        <w:ind w:left="720" w:hanging="720"/>
      </w:pPr>
      <w:r>
        <w:rPr>
          <w:rFonts w:ascii="Times New Roman" w:hAnsi="Times New Roman" w:eastAsia="宋体" w:cs="Times New Roman"/>
          <w:color w:val="000000"/>
        </w:rPr>
        <w:t xml:space="preserve">Yuan, R., Liu, M. J., &amp; Blut, M. (2022). What’s in it for you? Examining the roles of consumption values and Thaler’s acquisition–transaction utility theory in Chinese consumers’ green purchase intentions. </w:t>
      </w:r>
      <w:r>
        <w:rPr>
          <w:rFonts w:ascii="Times New Roman" w:hAnsi="Times New Roman" w:eastAsia="宋体" w:cs="Times New Roman"/>
          <w:i/>
          <w:color w:val="000000"/>
        </w:rPr>
        <w:t>European Journal of Marketing</w:t>
      </w:r>
      <w:r>
        <w:rPr>
          <w:rFonts w:ascii="Times New Roman" w:hAnsi="Times New Roman" w:eastAsia="宋体" w:cs="Times New Roman"/>
          <w:color w:val="000000"/>
        </w:rPr>
        <w:t xml:space="preserve">, </w:t>
      </w:r>
      <w:r>
        <w:rPr>
          <w:rFonts w:ascii="Times New Roman" w:hAnsi="Times New Roman" w:eastAsia="宋体" w:cs="Times New Roman"/>
          <w:i/>
          <w:color w:val="000000"/>
        </w:rPr>
        <w:t>56</w:t>
      </w:r>
      <w:r>
        <w:rPr>
          <w:rFonts w:ascii="Times New Roman" w:hAnsi="Times New Roman" w:eastAsia="宋体" w:cs="Times New Roman"/>
          <w:color w:val="000000"/>
        </w:rPr>
        <w:t>(4), 1065-1107. https://doi.org/10.1108/ejm-08-2020-0609</w:t>
      </w:r>
    </w:p>
    <w:p w14:paraId="2FE65AE7">
      <w:pPr>
        <w:ind w:left="720" w:hanging="720"/>
      </w:pPr>
      <w:r>
        <w:rPr>
          <w:rFonts w:ascii="Times New Roman" w:hAnsi="Times New Roman" w:eastAsia="宋体" w:cs="Times New Roman"/>
          <w:color w:val="000000"/>
        </w:rPr>
        <w:t xml:space="preserve">Zheng, D., Chen, Y., Zhang, Z., &amp; Che, H. (2022). Retail price discount depth and perceived quality uncertainty. </w:t>
      </w:r>
      <w:r>
        <w:rPr>
          <w:rFonts w:ascii="Times New Roman" w:hAnsi="Times New Roman" w:eastAsia="宋体" w:cs="Times New Roman"/>
          <w:i/>
          <w:color w:val="000000"/>
        </w:rPr>
        <w:t>Journal of Retailing</w:t>
      </w:r>
      <w:r>
        <w:rPr>
          <w:rFonts w:ascii="Times New Roman" w:hAnsi="Times New Roman" w:eastAsia="宋体" w:cs="Times New Roman"/>
          <w:color w:val="000000"/>
        </w:rPr>
        <w:t xml:space="preserve">, </w:t>
      </w:r>
      <w:r>
        <w:rPr>
          <w:rFonts w:ascii="Times New Roman" w:hAnsi="Times New Roman" w:eastAsia="宋体" w:cs="Times New Roman"/>
          <w:i/>
          <w:color w:val="000000"/>
        </w:rPr>
        <w:t>98</w:t>
      </w:r>
      <w:r>
        <w:rPr>
          <w:rFonts w:ascii="Times New Roman" w:hAnsi="Times New Roman" w:eastAsia="宋体" w:cs="Times New Roman"/>
          <w:color w:val="000000"/>
        </w:rPr>
        <w:t>(3), 542-557. https://doi.org/10.1016/j.jretai.2021.12.001</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A369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ind w:firstLine="480"/>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pageBreakBefore/>
      <w:spacing w:before="480" w:after="240"/>
      <w:ind w:firstLine="0"/>
      <w:jc w:val="center"/>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360" w:after="120"/>
      <w:ind w:firstLine="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40" w:after="120"/>
      <w:ind w:firstLine="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ind w:firstLine="0"/>
      <w:outlineLvl w:val="3"/>
    </w:pPr>
    <w:rPr>
      <w:rFonts w:asciiTheme="majorHAnsi" w:hAnsiTheme="majorHAnsi" w:eastAsiaTheme="majorEastAsia" w:cstheme="majorBidi"/>
      <w:b/>
      <w:bCs/>
      <w:i/>
      <w:iCs/>
      <w:color w:val="4F81BD" w:themeColor="accent1"/>
      <w:sz w:val="24"/>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5354</Words>
  <Characters>6197</Characters>
  <Lines>0</Lines>
  <Paragraphs>0</Paragraphs>
  <TotalTime>1</TotalTime>
  <ScaleCrop>false</ScaleCrop>
  <LinksUpToDate>false</LinksUpToDate>
  <CharactersWithSpaces>6419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zz2023</cp:lastModifiedBy>
  <dcterms:modified xsi:type="dcterms:W3CDTF">2026-03-02T13:35:08Z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5FFF4F4F14B540BEB383F4806153120C_13</vt:lpwstr>
  </property>
</Properties>
</file>