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line="24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医疗五</w:t>
      </w:r>
    </w:p>
    <w:p>
      <w:pPr>
        <w:pStyle w:val="Heading2"/>
        <w:spacing w:before="200" w:after="200" w:line="24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核心构念信效度</w:t>
      </w:r>
    </w:p>
    <w:p>
      <w:pPr>
        <w:spacing w:before="3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表1 信度与效度分析结果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构念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Cronbach's α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组合信度 (CR)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平均提取方差 (AVE)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0.868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0.869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0.689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0.920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0.921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0.746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0.846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0.847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0.526</w:t>
            </w:r>
          </w:p>
        </w:tc>
      </w:tr>
      <w:tr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0.790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0.796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0.567</w:t>
            </w:r>
          </w:p>
        </w:tc>
      </w:tr>
    </w:tbl>
    <w:p>
      <w:pPr>
        <w:spacing w:after="200"/>
      </w:pPr>
    </w:p>
    <w:p>
      <w:pPr>
        <w:spacing w:before="3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表2 验证性因子分析拟合指标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拟合指标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数值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判断标准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结果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χ²/df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1.620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&lt; 3.0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✓ 良好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CFI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0.968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&gt; 0.90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✓ 良好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TLI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0.960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&gt; 0.90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✓ 良好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RMSEA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0.056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&lt; 0.08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✓ 良好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SRMR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&lt; 0.08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gridSpan w:val="4"/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注：CFI=比较拟合指数；TLI=Tucker-Lewis指数；RMSEA=近似误差均方根；SRMR=标准化均方根残差</w:t>
            </w:r>
          </w:p>
        </w:tc>
      </w:tr>
    </w:tbl>
    <w:p>
      <w:pPr>
        <w:spacing w:before="3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表3 因子载荷表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构念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条目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标准化载荷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CUA1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CUA2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0.845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CUA3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0.777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 aware1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0.923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 aware2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0.848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 aware3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0.892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 aware4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0.785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0.741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0.684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0.773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0.681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0.734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0.829</w:t>
            </w:r>
          </w:p>
        </w:tc>
      </w:tr>
      <w:tr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WGP3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0.689</w:t>
            </w:r>
          </w:p>
        </w:tc>
      </w:tr>
    </w:tbl>
    <w:p>
      <w:pPr>
        <w:spacing w:after="200"/>
      </w:pPr>
    </w:p>
    <w:p>
      <w:pPr>
        <w:spacing w:before="3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表4 描述性统计与相关系数矩阵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变量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M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SD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COMS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3.166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1.226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3.418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1.074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-0.155*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3.243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1.188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0.079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0.408***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3.385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1.017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-0.214**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0.533***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0.343***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1.000</w:t>
            </w:r>
          </w:p>
        </w:tc>
      </w:tr>
      <w:tr>
        <w:tc>
          <w:tcPr>
            <w:gridSpan w:val="7"/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注：*p &lt; .05; **p &lt; .01; ***p &lt; .001</w:t>
            </w:r>
          </w:p>
        </w:tc>
      </w:tr>
    </w:tbl>
    <w:p>
      <w:pPr>
        <w:pStyle w:val="Heading2"/>
        <w:spacing w:before="200" w:after="200" w:line="24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分析结果</w:t>
      </w:r>
    </w:p>
    <w:p>
      <w:pPr>
        <w:pStyle w:val="Heading3"/>
        <w:spacing w:before="100" w:after="100" w:lin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AI意识 → WGP → 持续使用意愿 (W=COMS)</w:t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表5 层次回归分析结果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变量</w:t>
            </w:r>
          </w:p>
        </w:tc>
        <w:tc>
          <w:tcPr>
            <w:gridSpan w:val="3"/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持续使用意愿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Model 1</w:t>
            </w:r>
          </w:p>
        </w:tc>
        <w:tc>
          <w:tcPr>
            <w:tcBorders>
              <w:top w:val="none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Model 2</w:t>
            </w:r>
          </w:p>
        </w:tc>
        <w:tc>
          <w:tcPr>
            <w:tcBorders>
              <w:top w:val="none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Model 3</w:t>
            </w:r>
          </w:p>
        </w:tc>
        <w:tc>
          <w:tcPr>
            <w:tcBorders>
              <w:top w:val="none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Model 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Intercept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0.063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3.243***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(0.075)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(0.065)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(0.064)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(0.076)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-0.136*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-0.038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-0.076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0.142*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(0.061)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(0.054)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(0.053)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(0.063)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COMS (centered)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0.553***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0.522***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(0.065)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(0.063)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AI意识 × COMS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0.238***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(0.057)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WGP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0.477***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(0.072)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R²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0.024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0.285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0.344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0.187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F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4.903*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39.343***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34.281***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22.710***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200.000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200.000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200.000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200.000</w:t>
            </w:r>
          </w:p>
        </w:tc>
      </w:tr>
      <w:tr>
        <w:tc>
          <w:tcPr>
            <w:gridSpan w:val="5"/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注：*p &lt; .05; **p &lt; .01; ***p &lt; .001。N=200</w:t>
            </w:r>
          </w:p>
        </w:tc>
      </w:tr>
    </w:tbl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表6 简单斜率分析（Simple Slope Analysis）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W 水平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W 值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路径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简单斜率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SE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t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低(-1SD)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2.368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 (X-&gt;M)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-0.317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0.078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-4.066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0.000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中(Mean)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3.385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 (X-&gt;M)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-0.076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0.053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-1.444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0.150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高(+1SD)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4.402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a (X-&gt;M)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0.165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0.078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2.119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0.035</w:t>
            </w:r>
          </w:p>
        </w:tc>
      </w:tr>
      <w:tr>
        <w:tc>
          <w:tcPr>
            <w:gridSpan w:val="7"/>
            <w:tcBorders>
              <w:top w:val="single" w:color="000000" w:sz="12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注：*p &lt; .05; **p &lt; .01; ***p &lt; .001。</w:t>
            </w:r>
          </w:p>
        </w:tc>
      </w:tr>
    </w:tbl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表7 条件间接效应（Bootstrap）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W 水平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W 值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间接效应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95%CI 下限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95%CI 上限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低(-1SD)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2.368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-0.151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-0.255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-0.055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中(Mean)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3.385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-0.036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-0.091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0.014</w:t>
            </w:r>
          </w:p>
        </w:tc>
      </w:tr>
      <w:tr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高(+1SD)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4.402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0.079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0.015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0.144</w:t>
            </w:r>
          </w:p>
        </w:tc>
      </w:tr>
    </w:tbl>
    <w:p>
      <w:pPr>
        <w:spacing w:after="200"/>
      </w:pP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</w:rPr>
        <w:t xml:space="preserve">表8 调节中介指数（Index of Moderated Mediation）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指标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估计值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95%CI 下限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4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/>
                <w:bCs/>
                <w:rFonts w:ascii="Times New Roman" w:cs="Times New Roman" w:eastAsia="Times New Roman" w:hAnsi="Times New Roman"/>
              </w:rPr>
              <w:t xml:space="preserve">95%CI 上限</w:t>
            </w:r>
          </w:p>
        </w:tc>
      </w:tr>
      <w:tr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Index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0.113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0.049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rFonts w:ascii="Times New Roman" w:cs="Times New Roman" w:eastAsia="Times New Roman" w:hAnsi="Times New Roman"/>
              </w:rPr>
              <w:t xml:space="preserve">0.179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rPr>
          <w:b/>
          <w:bCs/>
          <w:sz w:val="28"/>
          <w:szCs w:val="28"/>
          <w:rFonts w:ascii="SimSun" w:cs="SimSun" w:eastAsia="SimSun" w:hAnsi="SimSun"/>
        </w:rPr>
        <w:t xml:space="preserve">分析图片</w:t>
      </w:r>
    </w:p>
    <w:p>
      <w:pPr>
        <w:spacing w:before="200" w:after="100"/>
        <w:jc w:val="center"/>
      </w:pPr>
      <w:r>
        <w:rPr>
          <w:sz w:val="21"/>
          <w:szCs w:val="21"/>
          <w:rFonts w:ascii="Times New Roman" w:cs="Times New Roman" w:eastAsia="Times New Roman" w:hAnsi="Times New Roman"/>
        </w:rPr>
        <w:t xml:space="preserve">图1 调节效应图</w:t>
      </w:r>
    </w:p>
    <w:p>
      <w:pPr>
        <w:spacing w:after="3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hmjmtbdgqoz-0gohkevx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医疗五</dc:title>
  <dc:creator>AI Empirical Research Workbench</dc:creator>
  <cp:lastModifiedBy>Un-named</cp:lastModifiedBy>
  <cp:revision>1</cp:revision>
  <dcterms:created xsi:type="dcterms:W3CDTF">2026-03-19T13:12:09.225Z</dcterms:created>
  <dcterms:modified xsi:type="dcterms:W3CDTF">2026-03-19T13:12:09.225Z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