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0"/>
      </w:pPr>
      <w:r>
        <w:t>Dear Editors,</w:t>
      </w:r>
    </w:p>
    <w:p>
      <w:pPr>
        <w:spacing w:line="240" w:lineRule="auto" w:after="80" w:before="0"/>
      </w:pPr>
      <w:r>
        <w:t>On behalf of my co-author, Dr. Xianming Wu (Chinese Institute for Brain Research, Beijing), I submit our manuscript, “CKI is a Ka/Ks-inspired index quantifying functional divergence in single-cell genomics”, for consideration as an Article in Nature Communications. CKI (Cell-type Ka/Ks-inspired Index) is, to our knowledge, the first per-comparison, design-testable implementation of a principled separation of functional divergence from background drift in transcriptomic comparisons: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40" w:lineRule="auto" w:after="80" w:before="0"/>
      </w:pPr>
      <w:r>
        <w:t>The manuscript rests on three pillars. First, in ground-truth simulation (1,750 replicates), ω alone did not false-trigger on neutral housekeeping drift (false-positive rate 0.00 versus 0.55–0.58 for JS and cosine) and ranked first for functional-versus-neutral discrimination (AUC = 0.80). Second, in real-data drift calibration, ω raised no false reports on any of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with the shallowest drift-ladder gradient (1.04 → 1.76 → 1.80 versus 1.07 → 3.32 → 2.98 for raw JS). Third, across 3,567 TCGA samples in five cancer types, tumor specimens were consistently less divergent than adjacent non-tumor tissue (NN/TT ω ratio 1.10–2.46, bootstrap CIs excluding 1 in four of five)—reflecting a 1.3–3.3-fold elevated housekeeping baseline, not reduced functional divergence; and in lung adenocarcinoma the k_f/k_n decomposition separates KRAS-mutant tumors—retaining both a functional (k_f) and a baseline (k_n) component after purity and smoking adjustment—from EGFR-mutant tumors, whose apparent association dissolved under purity adjustment.</w:t>
      </w:r>
    </w:p>
    <w:p>
      <w:pPr>
        <w:spacing w:line="240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question domain—false divergence calls on real technical and donor drift—it misreports least among the continuous divergence metrics while retaining sensitivity to biology (Fig. 3); in the ground-truth simulation it ranks first of six metrics at separating injected functional change from neutral drift (AUC = 0.80; Fig. 2e). And the pan-cancer divergence map, with the lung adenocarcinoma driver-class decomposition, grounds the method in cancer biology of direct interest to a broad readership (Fig. 4).</w:t>
      </w:r>
    </w:p>
    <w:p>
      <w:pPr>
        <w:spacing w:line="240" w:lineRule="auto" w:after="80" w:before="0"/>
      </w:pPr>
      <w:r>
        <w:t>We suggest the following reviewers, none with recent collaborations or conflicts of interest with the authors: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40" w:lineRule="auto" w:after="80" w:before="0"/>
      </w:pPr>
      <w:r>
        <w:t>Thank you for considering our work.</w:t>
      </w:r>
    </w:p>
    <w:p>
      <w:pPr>
        <w:spacing w:line="240" w:lineRule="auto" w:after="240" w:before="0"/>
      </w:pPr>
      <w:r>
        <w:t>Sincerely,</w:t>
      </w:r>
    </w:p>
    <w:p>
      <w:pPr>
        <w:spacing w:line="240" w:lineRule="auto" w:after="0" w:before="0"/>
      </w:pPr>
      <w:r>
        <w:t>Li Zhang (Corresponding Author)</w:t>
      </w:r>
    </w:p>
    <w:p>
      <w:pPr>
        <w:spacing w:line="240" w:lineRule="auto" w:after="0" w:before="0"/>
      </w:pPr>
      <w:r>
        <w:t>Xianming Wu (First Author)</w:t>
      </w:r>
    </w:p>
    <w:p>
      <w:pPr>
        <w:spacing w:line="240" w:lineRule="auto" w:after="0" w:before="0"/>
      </w:pPr>
      <w:r>
        <w:t>ORCID (corresponding author): Li Zhang 0000-0002-0698-0754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