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Benjamini-Hochberg FDR correction was applied across all 31,764 pairs.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Cohen's d as a descriptive measure of separation; given the non-normal ω distribution, d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one-sided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data uses a fully pair-specific scheme (both k_n and k_f computed per pair), while the human hybrid scheme uses a global k_n with per-pair k_f, which alters the effective ω scale.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BH-FDR corrected) revealed that 16 of 30 Strong signals reached statistical significance (P &lt; 0.05): all 6 astrocyte and all 10 oligodendrocyte signals were highly significant (P = 9.99 × 10⁻⁵, q = 2.75 × 10⁻⁴), while none of the 10 microglia, 1 fibroblast, or 3 vascular signals reached significance (P ≥ 0.76).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statistical significance in permutation testing (P = 9.99 × 10⁻⁵, q = 2.75 × 10⁻⁴).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statistical significance (P = 9.99 × 10⁻⁵, q = 2.75 × 10⁻⁴).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q = 1.0).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q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q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The empirical calibration experiment (split-half equivalent populations, n = 6) yielded a mean ω = 6.67, demonstrating that k_f systematically exceeds k_n even for identical populations due to HVG gene selection. We use ω ≪ calibration and ω ≫ calibration as operational anchors for functional constraint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are neutral because they do not alter the protein), whereas HK genes are defined empirically by data-driven criteria (high detection rate, low coefficient of variation) and lack a comparable mechanistic argument for neutrality. HK genes may be subject to stabilizing selection on expression levels, and their expression variance could in principle reflect regulatory constraints rather than pure neutral drift. We partly address this through sensitivity analysis showing that CKI results are robust to alternative HK definitions (using the lowest 10% variable genes as a neutral set yielded ω correlations r &gt; 0.95), and by noting that HK genes are specifically selected for low variance across conditions, which is a practical (if not mechanistic) proxy for neutrality. Nevertheless, the absence of a formal neutral model means that ω values should be interpreted as relative measures of functional divergence, not as direct estimates of selection strength.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statistical significance (FDR &lt; 0.05).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powerful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to the per-cell-class bootstrap results.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Cohen’s d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q = 1.0).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4,489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negative control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reported with exact P-values; descriptive statistics are reported as mean ± SD or median [IQR] as indicated. Effect sizes include standardized effect size (SES = (ω_obs − mean(ω_null)) / sd(ω_null)) and Cohen's d (reported as descriptive due to ω non-normality).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