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a Ka/Ks-inspired index decomposing functional divergence from baseline variation in cell atlases</w:t>
      </w:r>
    </w:p>
    <w:p>
      <w:r>
        <w:rPr>
          <w:rFonts w:ascii="Arial" w:hAnsi="Arial"/>
          <w:b w:val="0"/>
          <w:color w:val="000000"/>
          <w:sz w:val="22"/>
        </w:rPr>
        <w:t>Wenting Liu (1), Jian Zu (1), Li Zhang (2,3,4,*)</w:t>
      </w:r>
    </w:p>
    <w:p>
      <w:r>
        <w:rPr>
          <w:rFonts w:ascii="Arial" w:hAnsi="Arial"/>
          <w:b w:val="0"/>
          <w:color w:val="000000"/>
          <w:sz w:val="22"/>
        </w:rPr>
        <w:t>(1) School of Mathematics and Statistics, Xi'an Jiaotong University, Xi'an 710049, China</w:t>
      </w:r>
    </w:p>
    <w:p>
      <w:r>
        <w:rPr>
          <w:rFonts w:ascii="Arial" w:hAnsi="Arial"/>
          <w:b w:val="0"/>
          <w:color w:val="000000"/>
          <w:sz w:val="22"/>
        </w:rPr>
        <w:t>(2) Chinese Institute for Brain Research, Beijing 102206, China</w:t>
      </w:r>
    </w:p>
    <w:p>
      <w:r>
        <w:rPr>
          <w:rFonts w:ascii="Arial" w:hAnsi="Arial"/>
          <w:b w:val="0"/>
          <w:color w:val="000000"/>
          <w:sz w:val="22"/>
        </w:rPr>
        <w:t>(3) Institute of Blood Transfusion, Chinese Academy of Medical Sciences &amp; Peking Union Medical College, Chengdu 610052, China</w:t>
      </w:r>
    </w:p>
    <w:p>
      <w:r>
        <w:rPr>
          <w:rFonts w:ascii="Arial" w:hAnsi="Arial"/>
          <w:b w:val="0"/>
          <w:color w:val="000000"/>
          <w:sz w:val="22"/>
        </w:rPr>
        <w:t>(4) Translational Medical Center, Weifang Second People's Hospital, Weifang 261041,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w:t>
      </w:r>
    </w:p>
    <w:p>
      <w:r>
        <w:rPr>
          <w:rFonts w:ascii="Arial" w:hAnsi="Arial"/>
          <w:b w:val="0"/>
          <w:color w:val="000000"/>
          <w:sz w:val="22"/>
        </w:rPr>
        <w:t>Supplementary Note 5: k_f-only Ordering Controls (Cross-Organ Ranking and TCGA Severity)</w:t>
      </w:r>
    </w:p>
    <w:p>
      <w:r>
        <w:rPr>
          <w:rFonts w:ascii="Arial" w:hAnsi="Arial"/>
          <w:b w:val="0"/>
          <w:color w:val="000000"/>
          <w:sz w:val="22"/>
        </w:rPr>
        <w:t>Supplementary Note 6: Non-HK-Anchored Neutral Drift Controls</w:t>
      </w:r>
    </w:p>
    <w:p>
      <w:r>
        <w:rPr>
          <w:rFonts w:ascii="Arial" w:hAnsi="Arial"/>
          <w:b w:val="0"/>
          <w:color w:val="000000"/>
          <w:sz w:val="22"/>
        </w:rPr>
        <w:t>Supplementary Note 7: Human-Brain Sanity Check on the Microglia Supercluster</w:t>
      </w:r>
    </w:p>
    <w:p>
      <w:r>
        <w:rPr>
          <w:rFonts w:ascii="Arial" w:hAnsi="Arial"/>
          <w:b w:val="0"/>
          <w:color w:val="000000"/>
          <w:sz w:val="22"/>
        </w:rPr>
        <w:t>Supplementary Note 8: Real Perturbation Demonstration (Kang et al. IFN-beta PBMC)</w:t>
      </w:r>
    </w:p>
    <w:p>
      <w:r>
        <w:rPr>
          <w:rFonts w:ascii="Arial" w:hAnsi="Arial"/>
          <w:b w:val="0"/>
          <w:color w:val="000000"/>
          <w:sz w:val="22"/>
        </w:rPr>
        <w:t>Supplementary Note 9: Fixed Gene-Panel Ablation</w:t>
      </w:r>
    </w:p>
    <w:p>
      <w:r>
        <w:rPr>
          <w:rFonts w:ascii="Arial" w:hAnsi="Arial"/>
          <w:b w:val="0"/>
          <w:color w:val="000000"/>
          <w:sz w:val="22"/>
        </w:rPr>
        <w:t>Supplementary Note 10: TCGA composition-contribution check for the NN/TT k_n reversal</w:t>
      </w:r>
    </w:p>
    <w:p>
      <w:r>
        <w:rPr>
          <w:rFonts w:ascii="Arial" w:hAnsi="Arial"/>
          <w:b w:val="0"/>
          <w:color w:val="000000"/>
          <w:sz w:val="22"/>
        </w:rPr>
        <w:t>Supplementary Note 11: Brain Class-Size Confounding Controls and min-cells Threshold Sensitivity</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Region Glossary (Siletti et al. Dissection Nomenclature)</w:t>
      </w:r>
    </w:p>
    <w:p>
      <w:r>
        <w:rPr>
          <w:rFonts w:ascii="Arial" w:hAnsi="Arial"/>
          <w:b w:val="0"/>
          <w:color w:val="000000"/>
          <w:sz w:val="22"/>
        </w:rPr>
        <w:t>Supplementary Note 14: Brain set-level enrichment of the block-shuffle signal (post-hoc)</w:t>
      </w:r>
    </w:p>
    <w:p>
      <w:r>
        <w:rPr>
          <w:rFonts w:ascii="Arial" w:hAnsi="Arial"/>
          <w:b w:val="0"/>
          <w:color w:val="000000"/>
          <w:sz w:val="22"/>
        </w:rPr>
        <w:t>Supplementary Note 15: Comparison with Augur Cell-Type Prioritization</w:t>
      </w:r>
    </w:p>
    <w:p>
      <w:r>
        <w:rPr>
          <w:rFonts w:ascii="Arial" w:hAnsi="Arial"/>
          <w:b w:val="0"/>
          <w:color w:val="000000"/>
          <w:sz w:val="22"/>
        </w:rPr>
        <w:t>Supplementary Note 16: JS Divergence Dimensionality Invariance</w:t>
      </w:r>
    </w:p>
    <w:p>
      <w:r>
        <w:rPr>
          <w:rFonts w:ascii="Arial" w:hAnsi="Arial"/>
          <w:b w:val="0"/>
          <w:color w:val="000000"/>
          <w:sz w:val="22"/>
        </w:rPr>
        <w:t>Supplementary Note 17: Lineage-Distance Validation across Atlases</w:t>
      </w:r>
    </w:p>
    <w:p>
      <w:r>
        <w:rPr>
          <w:rFonts w:ascii="Arial" w:hAnsi="Arial"/>
          <w:b w:val="0"/>
          <w:color w:val="000000"/>
          <w:sz w:val="22"/>
        </w:rPr>
        <w:t>Supplementary Note 18: Neuronal Superclass Regional Divergence and Block-Shuffle Control</w:t>
      </w:r>
    </w:p>
    <w:p>
      <w:r>
        <w:rPr>
          <w:rFonts w:ascii="Arial" w:hAnsi="Arial"/>
          <w:b w:val="0"/>
          <w:color w:val="000000"/>
          <w:sz w:val="22"/>
        </w:rPr>
        <w:t>Supplementary Note 19: Program-Level Diffuseness and a Disease-Anchor Positive Control</w:t>
      </w:r>
    </w:p>
    <w:p>
      <w:r>
        <w:rPr>
          <w:rFonts w:ascii="Arial" w:hAnsi="Arial"/>
          <w:b w:val="0"/>
          <w:color w:val="000000"/>
          <w:sz w:val="22"/>
        </w:rPr>
        <w:t>Supplementary Methods</w:t>
      </w:r>
    </w:p>
    <w:p>
      <w:r>
        <w:rPr>
          <w:rFonts w:ascii="Arial" w:hAnsi="Arial"/>
          <w:b w:val="0"/>
          <w:color w:val="000000"/>
          <w:sz w:val="22"/>
        </w:rPr>
        <w:t>Supplementary Table 1: Parameter Sweep Results</w:t>
      </w:r>
    </w:p>
    <w:p>
      <w:r>
        <w:rPr>
          <w:rFonts w:ascii="Arial" w:hAnsi="Arial"/>
          <w:b w:val="0"/>
          <w:color w:val="000000"/>
          <w:sz w:val="22"/>
        </w:rPr>
        <w:t>Supplementary Table 2: TCGA Linear-Normalization Robustness</w:t>
      </w:r>
    </w:p>
    <w:p>
      <w:r>
        <w:rPr>
          <w:rFonts w:ascii="Arial" w:hAnsi="Arial"/>
          <w:b w:val="0"/>
          <w:color w:val="000000"/>
          <w:sz w:val="22"/>
        </w:rPr>
        <w:t>Supplementary Table 3: LIHC Overall-Survival Cox Models</w:t>
      </w:r>
    </w:p>
    <w:p>
      <w:r>
        <w:rPr>
          <w:rFonts w:ascii="Arial" w:hAnsi="Arial"/>
          <w:b w:val="0"/>
          <w:color w:val="000000"/>
          <w:sz w:val="22"/>
        </w:rPr>
        <w:t>Supplementary Table 4: Cross-Organ Conservation Data</w:t>
      </w:r>
    </w:p>
    <w:p>
      <w:r>
        <w:rPr>
          <w:rFonts w:ascii="Arial" w:hAnsi="Arial"/>
          <w:b w:val="0"/>
          <w:color w:val="000000"/>
          <w:sz w:val="22"/>
        </w:rPr>
        <w:t>Supplementary Table 5: Human Brain Non-neuronal Cell Regional CKI Data</w:t>
      </w:r>
    </w:p>
    <w:p>
      <w:r>
        <w:rPr>
          <w:rFonts w:ascii="Arial" w:hAnsi="Arial"/>
          <w:b w:val="0"/>
          <w:color w:val="000000"/>
          <w:sz w:val="22"/>
        </w:rPr>
        <w:t>Supplementary Table 6: Inter-regional Region-Associated Candidate Data</w:t>
      </w:r>
    </w:p>
    <w:p>
      <w:r>
        <w:rPr>
          <w:rFonts w:ascii="Arial" w:hAnsi="Arial"/>
          <w:b w:val="0"/>
          <w:color w:val="000000"/>
          <w:sz w:val="22"/>
        </w:rPr>
        <w:t>Supplementary Table 7: Kang IFN-beta Per-Cell-Type Effects</w:t>
      </w:r>
    </w:p>
    <w:p>
      <w:r>
        <w:rPr>
          <w:rFonts w:ascii="Arial" w:hAnsi="Arial"/>
          <w:b w:val="0"/>
          <w:color w:val="000000"/>
          <w:sz w:val="22"/>
        </w:rPr>
        <w:t>Supplementary Table 8: Target-Detection AUC in Mean-Shift Simulation</w:t>
      </w:r>
    </w:p>
    <w:p>
      <w:r>
        <w:rPr>
          <w:rFonts w:ascii="Arial" w:hAnsi="Arial"/>
          <w:b w:val="0"/>
          <w:color w:val="000000"/>
          <w:sz w:val="22"/>
        </w:rPr>
        <w:t>Supplementary Table 9: Donor-Paired Detection Power</w:t>
      </w:r>
    </w:p>
    <w:p>
      <w:r>
        <w:rPr>
          <w:rFonts w:ascii="Arial" w:hAnsi="Arial"/>
          <w:b w:val="0"/>
          <w:color w:val="000000"/>
          <w:sz w:val="22"/>
        </w:rPr>
        <w:t>Supplementary Table 10: Kang Batch-1 Technical-Replicate Calibration</w:t>
      </w:r>
    </w:p>
    <w:p>
      <w:r>
        <w:rPr>
          <w:rFonts w:ascii="Arial" w:hAnsi="Arial"/>
          <w:b w:val="0"/>
          <w:color w:val="000000"/>
          <w:sz w:val="22"/>
        </w:rPr>
        <w:t>Supplementary Table 11: Brain Drift Ladder by Tier and Metric</w:t>
      </w:r>
    </w:p>
    <w:p>
      <w:r>
        <w:rPr>
          <w:rFonts w:ascii="Arial" w:hAnsi="Arial"/>
          <w:b w:val="0"/>
          <w:color w:val="000000"/>
          <w:sz w:val="22"/>
        </w:rPr>
        <w:t>Supplementary Table 12: Pan-Cancer NN/TT Ratios</w:t>
      </w:r>
    </w:p>
    <w:p>
      <w:r>
        <w:rPr>
          <w:rFonts w:ascii="Arial" w:hAnsi="Arial"/>
          <w:b w:val="0"/>
          <w:color w:val="000000"/>
          <w:sz w:val="22"/>
        </w:rPr>
        <w:t>Supplementary Table 13: LUAD Driver-Group Means</w:t>
      </w:r>
    </w:p>
    <w:p>
      <w:r>
        <w:rPr>
          <w:rFonts w:ascii="Arial" w:hAnsi="Arial"/>
          <w:b w:val="0"/>
          <w:color w:val="000000"/>
          <w:sz w:val="22"/>
        </w:rPr>
        <w:t>Supplementary Table 14: LUAD Pairwise Contrasts</w:t>
      </w:r>
    </w:p>
    <w:p>
      <w:r>
        <w:rPr>
          <w:rFonts w:ascii="Arial" w:hAnsi="Arial"/>
          <w:b w:val="0"/>
          <w:color w:val="000000"/>
          <w:sz w:val="22"/>
        </w:rPr>
        <w:t>Supplementary Table 15: Purity Sensitivity of the Pan-Cancer Reversal</w:t>
      </w:r>
    </w:p>
    <w:p>
      <w:r>
        <w:rPr>
          <w:rFonts w:ascii="Arial" w:hAnsi="Arial"/>
          <w:b w:val="0"/>
          <w:color w:val="000000"/>
          <w:sz w:val="22"/>
        </w:rPr>
        <w:t>Supplementary Table 16: LUAD Admixture-Adjusted Contrasts</w:t>
      </w:r>
    </w:p>
    <w:p>
      <w:r>
        <w:rPr>
          <w:rFonts w:ascii="Arial" w:hAnsi="Arial"/>
          <w:b w:val="0"/>
          <w:color w:val="000000"/>
          <w:sz w:val="22"/>
        </w:rPr>
        <w:t>Supplementary Table 17: LUAD Smoking-Covariate Adjustment</w:t>
      </w:r>
    </w:p>
    <w:p>
      <w:r>
        <w:rPr>
          <w:rFonts w:ascii="Arial" w:hAnsi="Arial"/>
          <w:b w:val="0"/>
          <w:color w:val="000000"/>
          <w:sz w:val="22"/>
        </w:rPr>
        <w:t>Supplementary Table 18: TCGA Clinical-Severity Gradients</w:t>
      </w:r>
    </w:p>
    <w:p>
      <w:r>
        <w:rPr>
          <w:rFonts w:ascii="Arial" w:hAnsi="Arial"/>
          <w:b w:val="0"/>
          <w:color w:val="000000"/>
          <w:sz w:val="22"/>
        </w:rPr>
        <w:t>Supplementary Table 19: Brain min-cells Threshold Sensitivity</w:t>
      </w:r>
    </w:p>
    <w:p>
      <w:r>
        <w:rPr>
          <w:rFonts w:ascii="Arial" w:hAnsi="Arial"/>
          <w:b w:val="0"/>
          <w:color w:val="000000"/>
          <w:sz w:val="22"/>
        </w:rPr>
        <w:t>Supplementary Table 20: Tabula Sapiens Lineage-Distance Pair Data</w:t>
      </w:r>
    </w:p>
    <w:p>
      <w:r>
        <w:rPr>
          <w:rFonts w:ascii="Arial" w:hAnsi="Arial"/>
          <w:b w:val="0"/>
          <w:color w:val="000000"/>
          <w:sz w:val="22"/>
        </w:rPr>
        <w:t>Supplementary Table 21: Siletti Brain Lineage-Distance Pair Data</w:t>
      </w:r>
    </w:p>
    <w:p>
      <w:r>
        <w:rPr>
          <w:rFonts w:ascii="Arial" w:hAnsi="Arial"/>
          <w:b w:val="0"/>
          <w:color w:val="000000"/>
          <w:sz w:val="22"/>
        </w:rPr>
        <w:t>Supplementary Table 22: Neuronal Superclass Pair Data and Block-Shuffle Test</w:t>
      </w:r>
    </w:p>
    <w:p>
      <w:r>
        <w:rPr>
          <w:rFonts w:ascii="Arial" w:hAnsi="Arial"/>
          <w:b w:val="0"/>
          <w:color w:val="000000"/>
          <w:sz w:val="22"/>
        </w:rPr>
        <w:t>Supplementary Table 23: SEA-AD Disease-Anchor Positive Control</w:t>
      </w:r>
    </w:p>
    <w:p>
      <w:r>
        <w:rPr>
          <w:rFonts w:ascii="Arial" w:hAnsi="Arial"/>
          <w:b w:val="0"/>
          <w:color w:val="000000"/>
          <w:sz w:val="22"/>
        </w:rPr>
        <w:t>Supplementary Data 1: Analysis Script Index</w:t>
      </w:r>
    </w:p>
    <w:p>
      <w:r>
        <w:rPr>
          <w:rFonts w:ascii="Arial" w:hAnsi="Arial"/>
          <w:b w:val="0"/>
          <w:color w:val="000000"/>
          <w:sz w:val="22"/>
        </w:rPr>
        <w:t>Supplementary Figures (legends for Supplementary Figs. 1-18)</w:t>
      </w:r>
    </w:p>
    <w:p>
      <w:r>
        <w:rPr>
          <w:rFonts w:ascii="Arial" w:hAnsi="Arial"/>
          <w:b w:val="0"/>
          <w:color w:val="000000"/>
          <w:sz w:val="22"/>
        </w:rPr>
        <w:t>Supplementary Tables 1-23 are provided as a single workbook (CKI_Supplementary_Tables_NC.xlsx, sheets Table 1-23 in numeric order); in-text references in this document appear at first use, so mention order follows the narrative rather than table numbering.</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JS also admits an exact chain decomposition over disjoint gene blocks (the JS of the concatenated vectors equals the mass-weighted sum of within-block JS values plus the JS of the block-mass vectors), but CKI deliberately does not rely on it: the HK and identity subsets are independently re-normalized within each subset before JS is evaluated, so k_n and k_f are two self-normalized reference rates and ω is their contrast ratio—not an additive decomposition of the whole-transcriptome JS into components, and no cross-subset additivity is assumed or required.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Two clarifications delimit this reading. First, k_n is an operational baseline readout—the JS divergence observed on the HK panel—rather than a fitted parameter of an explicit noise model; no variance decomposition into technical and biological components is assumed or required, and “baseline noise” is shorthand for the aggregate of all HK-panel divergence sources listed above. Second, the reading rests on the exchangeability premise that HK genes behave interchangeably between biologically equivalent populations; that premise is exercised directly by the non-HK-anchored drift controls, which show that ω’s specificity does not depend on the drift being HK-anchored (Supplementary Note 6), and by the split-half calibration baseline, which empirically measures within-population HK divergence (Supplementary Note 3).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 (a gene-set configuration criterion only; CKI itself is not designed for cell-type discrimination—see the main-text Discussion).</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and the correspondence is threefold: synonymous-site divergence (Ks) corresponds to HK-gene divergence (k_n), nonsynonymous divergence (Ka) to functional-gene divergence (k_f), and a species pair to the two cell populations compared (main-text Discussion), with a constrained rather than neutral reference class; completing the McDonald–Kreitman-style contrast, the split-half calibration baseline (within-population ω ≈ 7.70) stands in for the polymorphism class, so ω_cal = ω/7.70 parallels the reciprocal of the neutrality index (the α-direction of the McDonald–Kreitman contrast) and inherits its caveats; the split-half denominator measures within-population sampling and technical variability rather than standing between-individual variation, so it is a lower bound on the polymorphism class and ω_cal is biased upward accordingly. The inversion is structural rather than incidental: in Ka/Ks the denominator (Ks) is a putatively neutral standard, whereas the HK anchor is itself the most strongly constrained expression class—as if synonymous sites were selected along one lineage, where dN/dS loses its interpretation. The TCGA pan-cancer reversal, in which the denominator shifts 1.3–3.3-fold with disease state, is the empirical demonstration of that failure mode; the per-class split-half baselines (a 1.65-fold spread) are the analogue of dS varying across lineages, handled in molecular evolution by branch models and here by per-class calibration. Sensitivity analysis with alternative low-variance gene sets (r &gt; 0.95) partially mitigates the empirical-definition concern; CKI also lacks a formal phylogenetic framework (e.g., Ornstein-Uhlenbeck models).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 (4) Ka/Ks counts all nonsynonymous sites, whereas the k_f numerator is computed on a per-pair top-200 selection of the most diverged genes—an ascertainment asymmetry on the Ka side (in MK terms, counting only the amino-acid sites already known to differ), quantified by the circularity analyses (median inflation 1.61×; leave-pair-out ρ = 0.92–0.94; ω as upper bound; Supplementary Note 9) and handled statistically by the gene-reselecting permutation nulls. Three boundary statements complete the interpretation. First, ω = 1 is the expectation under a full-matching null (k_f = k_n), not a theorem: the empirical equivalent-population baseline is 7.70 rather than 1, so ω = 1 in fact marks strong functional constraint relative to baseline drift. The degenerate case k_n = k_f = 0 is excluded by the positivity guard (minimum observed per-pair k_n 9.2e-5; Section 1.1); were it encountered, ω would be undefined rather than interpretable evidence. Second, the statement that an internal baseline “normalizes away shared variation” holds under four conditions—(i) a small-displacement chi-square approximation, JS ≈ (1/(8 ln 2)) Σ (Δp)²/m, under which shared multiplicative shifts cancel in the ratio; (ii) HK exchangeability between biologically equivalent populations (Supplementary Note 6); (iii) a fixed gene panel within each comparison; and (iv) negligible dimensionality mismatch between the numerator and denominator panels (Supplementary Note 16); outside these conditions ω is read empirically against the calibration baseline rather than as an exact normalization. Third, a low ω has two mechanistically distinct sources—a decreased numerator (functional constraint: the groups are unusually similar in identity genes) or an increased denominator (elevated baseline noise, as in the TCGA reversal)—with opposite biological meanings; a low ω driven purely by numerator decrease at an unchanged denominator still indicates stronger k_f-side constraint, not greater sensitivity to k_f. All low-ω ordering claims in this work are therefore reported together with component-resolved controls (Supplementary Note 5).</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20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All TCGA statistics reported in the manuscript are computed under the strictly linear probability mapping p_i = (TPM + 1)/Σ(TPM + 1), which is the authoritative caliber throughout (notebooks/85_tcga_linear_norm_v44.py; per-cancer streaming gene loading, mean TPM ≥ 0.5 filtering, per-cancer HK mapping, per-pair top-200 |Δ| identity genes ranked on the log2(TPM + 1) representation so that the identity gene sets are unchanged, kn_floor = 1 × 10⁻⁴, seed 42, TT/TN caps of 2,000 pairs). The legacy pipeline (notebooks/06_phase34_v2.py) applied the softmax probability mapping to log2(TPM + 1) values, which is mathematically equivalent to the power transformation p_i ∝ (TPM + 1)^(1/ln 2) (Section 1.1); the softmax-caliber values are archived here as a sensitivity analysis to verify that the mapping choice drives no conclusion (Supplementary Table 2). Scripts: notebooks/85_tcga_linear_norm_v44.py (linear-normalization pair table) with the v52 ex-CC default chain notebooks/nc52_tcga_excc_main.py (main pipeline and clinical severity; outputs results/nc52_tcga_pancancer_excc.csv, results/nc52_tcga_excc_severity.csv) and notebooks/nc52_tcga_composition_excc.py (composition sensitivity; results/nc52_tcga_composition_excc.{csv,txt}); the softmax-caliber sensitivity used notebooks/nc52_tcga_softmax_pairs.py and notebooks/nc52_tcga_mapping_schemes.py (results/nc52_tcga_softmax_all_pairs.csv, results/nc52_tcga_mapping_schemes_table.csv); report: results/tcga_linear_norm_v44_report.md.</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(v0.5.5),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benchmark performance assessment (parameter sweep and functional-change detection).</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(rule-matched null caveat on reading these tail excesses: Supplementary Note 14).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14: ω distribution characterization; Supplementary Fig. 10: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3.5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8.) Concretely for the regional candidate screen: re-deriving the multiplicative expected-value model and the full Strong rule (residual &lt; 0.3, ω &lt; 15, lowest ω in region pair) on global-k_n ω values yields 107 Strong candidates, of which only 3 of the 39 published Strong candidates persist (36 lost, 104 newly gained; persist fraction 0.077; median |log2 fold change| of ω between estimators 1.14; residual rank correlation ρ = 0.337), so the catalogue is strictly hypothesis-generating (notebooks/nc52_brain_candidate_effectsize.py; results/nc52_brain_candidate_effectsize.csv).</w:t>
      </w:r>
    </w:p>
    <w:p>
      <w:r>
        <w:rPr>
          <w:rFonts w:ascii="Arial" w:hAnsi="Arial"/>
          <w:b/>
          <w:color w:val="000000"/>
          <w:sz w:val="22"/>
        </w:rPr>
        <w:t>3.6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3.7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4. The Spearman correlations between CKI ω and standard metrics are reported with bootstrap 95% CIs (B = 10,000 resamples).</w:t>
      </w:r>
    </w:p>
    <w:p>
      <w:r>
        <w:rPr>
          <w:rFonts w:ascii="Arial" w:hAnsi="Arial"/>
          <w:b/>
          <w:color w:val="000000"/>
          <w:sz w:val="22"/>
        </w:rPr>
        <w:t>3.8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(v0.5.5), the tested tail is selected by the tail parameter of bootstrap_test() and block_shuffle_test() (tail = "upper", "lower", or "two-sided"); earlier releases used the parameter name "direction".</w:t>
      </w:r>
    </w:p>
    <w:p>
      <w:r>
        <w:rPr>
          <w:rFonts w:ascii="Arial" w:hAnsi="Arial"/>
          <w:b/>
          <w:color w:val="000000"/>
          <w:sz w:val="22"/>
        </w:rPr>
        <w:t>3.9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3.10 Mouse Split-Half Re-calibration (6 → 50 splits)</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Because the 300 split-half values are nested within only six populations, intervals treating them as independent ([7.37, 8.02] by t-interval, [7.38, 8.02] by bootstrap with B = 10,000) are pseudo-replicated and anti-conservative; the preferred interval is a two-stage bootstrap (B = 5,000, seed 42) that resamples the six populations first and the 50 split-half values within each drawn population second: 95% CI [6.38, 9.82] (six-population-mean t-interval [5.18, 10.21]; leave-one-population-out range 6.75–8.08), superseding both the pseudo-replicated intervals and the legacy single-split estimate 6.67 [4.24, 9.24]. Per-population means (50 splits each): hepatocyte 12.44 ± 5.98, marrow B cell 7.36 ± 1.39, heart endothelial 7.23 ± 1.59, heart fibroblast 7.00 ± 1.73, spleen B cell 6.38 ± 0.93, marrow neutrophil 5.77 ± 2.67. The calibration constant used throughout this revision is therefore 7.70 [6.38, 9.82]; qualitative calibrated-ω conclusions are unchanged (e.g., brain grand mean 38.5 → ω_cal ≈ 5.0–5.8 under either baseline), but the widened interval (±21% relative half-width) limits ω_cal to roughly one decimal of resolution: ω_cal = 1 is induced by any baseline in [6.38, 9.82] dividing 7.70, so ω_cal differences below ~0.1–0.2 are not meaningful.</w:t>
      </w:r>
    </w:p>
    <w:p>
      <w:r>
        <w:rPr>
          <w:rFonts w:ascii="Arial" w:hAnsi="Arial"/>
          <w:b w:val="0"/>
          <w:color w:val="000000"/>
          <w:sz w:val="22"/>
        </w:rPr>
        <w:t>Leave-one-population-out sensitivity. Removing each control population in turn moves the 50-split baseline within 6.75–8.08 (median-of-population-means 7.12); removing hepatocyte lowers it to 6.75 (−12.3%). All ratio statements are baseline-invariant, but absolute ω_cal magnitudes shift by up to 14% under the outlier-free baseline (Bergmann glia ω_cal 1.76 → 2.01; astrocytes 10.75 → 12.26).</w:t>
      </w:r>
    </w:p>
    <w:p>
      <w:r>
        <w:rPr>
          <w:rFonts w:ascii="Arial" w:hAnsi="Arial"/>
          <w:b/>
          <w:color w:val="000000"/>
          <w:sz w:val="22"/>
        </w:rPr>
        <w:t>3.11 Competitor Benchmark: MELD and a Python Approximation of scDist</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8).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 (Supplementary Table 7).</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 Supplementary Table 8).</w:t>
      </w:r>
    </w:p>
    <w:p>
      <w:r>
        <w:rPr>
          <w:rFonts w:ascii="Arial" w:hAnsi="Arial"/>
          <w:b w:val="0"/>
          <w:color w:val="000000"/>
          <w:sz w:val="22"/>
        </w:rPr>
        <w:t>Power formalization (donor-paired design of Supplementary Note 8;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 (Supplementary Table 9).</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rPr>
          <w:rFonts w:ascii="Arial" w:hAnsi="Arial"/>
          <w:b/>
          <w:color w:val="000000"/>
          <w:sz w:val="22"/>
        </w:rPr>
        <w:t>3.12 Real-Data Neutral-Drift Calibration on Technical Replicates</w:t>
      </w:r>
    </w:p>
    <w:p>
      <w:r>
        <w:rPr>
          <w:rFonts w:ascii="Arial" w:hAnsi="Arial"/>
          <w:b w:val="0"/>
          <w:color w:val="000000"/>
          <w:sz w:val="22"/>
        </w:rPr>
        <w:t>Purpose and design. Supplementary Note 1 quantifies neutral-drift specificity in simulation; this section repeats the test on real technical replicates, where the ground truth of no functional difference comes from the study design rather than from injected noise. Every metric is calibrated against a per-pair size-matched (n-matched) cell-shuffle null: the nuclei of the two libraries being compared are pooled, permuted, and re-split into disjoint subsets of exactly the observed group sizes (n_a, n_b), so the null matches donor, cell type, and group sizes while containing no group structure (B = 200 per pair for Kang; 100/30/30 for brain tiers T1/T2/T3). Calibration is the ratio observed / null median; the false-positive element is observed &gt; own null 95th percentile. Two designs are used. (i) Kang et al. batch 1 (GSE96583): eight unstimulated PBMC donors captured across three 10x lanes such that every donor appears in exactly two lanes, yielding 30 same-donor, same-condition cross-lane pairs (pure technical drift) across six cell types, evaluated with the per-pair top-200 scheme for k_n, k_f, ω, raw JS, and cosine distance. (ii) The Siletti et al. brain atlas drift ladder: 2,732 (cell class, library) groups with at least 20 nuclei, nested in 606 libraries, define three tiers of library-level pairs within each cell class - T1, same (donor, region) different libraries, all 2,161 pairs (pure technical drift); T2, same region different donors, 1,089 pairs (technical plus inter-individual drift); T3, same donor different regions, 1,656 pairs (regional biology, positive control) - evaluated with the brain pipeline (HK genes plus top-5,000 non-HK genes by mean expression; per-pair top-200 selection) for seven metrics: k_n, k_f, ω, raw JS, cosine distance, Spearman distance (1 - ρ), and marker Jaccard distance (1 minus the Jaccard index of each group’s top-200 markers, genes ranked by pseudobulk difference minus the cell-weighted background of the other cell classes). Scripts: notebooks/nc49_pilot_kang_techrep.py (seed 20260918), notebooks/nc49_brain_drift_ladder.py (seed 42); outputs: results/nc49_pilot_kang_techrep.csv, results/nc49_brain_drift_ladder.csv.</w:t>
      </w:r>
    </w:p>
    <w:p>
      <w:r>
        <w:rPr>
          <w:rFonts w:ascii="Arial" w:hAnsi="Arial"/>
          <w:b w:val="0"/>
          <w:color w:val="000000"/>
          <w:sz w:val="22"/>
        </w:rPr>
        <w:t>Kang batch 1 (technical replicates). ω was fully calibrated: no pair exceeded its own null 95th percentile (0 of 30, Wilson 95% CI [0.000, 0.114]), with a median calibration ratio of 0.963 (IQR [0.918, 0.998]); k_f alone was equally calibrated (0 of 30). Raw JS misreported 11 of 30 pairs (36.7%, CI [0.219, 0.545]) and cosine distance 7 of 30 (23.3%, CI [0.118, 0.409]) as divergence; k_n alone fired once (1 of 30). The per-metric values are given in Supplementary Table 10; the replication is shown in main-text Fig. 3a.</w:t>
      </w:r>
    </w:p>
    <w:p>
      <w:r>
        <w:rPr>
          <w:rFonts w:ascii="Arial" w:hAnsi="Arial"/>
          <w:b w:val="0"/>
          <w:color w:val="000000"/>
          <w:sz w:val="22"/>
        </w:rPr>
        <w:t>Brain drift ladder. On T1 (pure technical drift), ω had the lowest misreporting rate among the continuous divergence metrics (FPR 28.6%, versus 45.2% for raw JS, 44.1% for cosine, 40.6% for Spearman, 37.6% for k_f, and 35.7% for k_n), and ω was below raw JS in 10 of 10 cell classes (below cosine in 9 of 10, below Spearman in 8 of 10; per-class raw-JS-to-ω FPR ratios 1.2-2.3). Marker Jaccard distance was lower still (T1 FPR 19.9%, below ω in 10 of 10 cell classes): judged on the false-positive statistic alone, it separates the tiers at least as well as ω (T3−T1 FPR gap 0.60 versus 0.56; T3/T1 ratio 4.0 versus 3.0), so the misreporting claim for ω is restricted to the continuous divergence metrics. At T2 (donor drift), all metrics fired on most pairs - donor differences contain real biology - and ω again misreported least among the continuous divergence metrics (90.9% versus 98.4% for raw JS and 98.7% for k_f; marker Jaccard was again lower at 74.7%; calibration 1.76 versus 3.32 and 3.22). At T3 (regional biology, positive control), every metric rose (ω calibration 1.80; raw JS 2.98), so sensitivity to genuine divergence is preserved; across the ladder the ω calibration gradient is the shallowest of all metrics (1.04 → 1.76 → 1.80, versus 1.07 → 3.32 → 2.98 for raw JS). The advantage of ω over marker Jaccard lies elsewhere: Jaccard responds weakest to genuine regional divergence (T3 calibration 1.41 versus 1.80 for ω and 2.98 for raw JS), so its apparent specificity is purchased with the weakest sensitivity to real signal, and as a single set-overlap statistic it offers no k_n/k_f decomposition. Per-tier values for all seven metrics are given in Supplementary Table 11; main-text Fig. 3b,c.</w:t>
      </w:r>
    </w:p>
    <w:p>
      <w:r>
        <w:rPr>
          <w:rFonts w:ascii="Arial" w:hAnsi="Arial"/>
          <w:b w:val="0"/>
          <w:color w:val="000000"/>
          <w:sz w:val="22"/>
        </w:rPr>
        <w:t>Paired T1 comparisons (nc60). The 2,161 T1 flags are paired across metrics (same pairs, same nulls), so per-metric FPR contrasts were tested with McNemar-style discordant-pair analysis: ω versus raw JS (discordants 58/416, exact two-sided P = 8.4 × 10⁻⁶⁸), cosine (66/399, P = 4.1 × 10⁻⁵⁹), Spearman (93/352, P = 1.6 × 10⁻³⁶), k_n (165/317, P = 4.1 × 10⁻¹²), and k_f (40/233, P = 2.7 × 10⁻³⁴) are all significant in favor of ω, while marker Jaccard is significantly lower than ω (302/113, P = 5.6 × 10⁻²¹). Donor-cluster bootstrap 95% intervals (4 donors resampled, B = 10,000, seed 42) exclude zero for every contrast (ΔFPR versus ω: raw JS +0.166 [+0.154, +0.185], cosine +0.154 [+0.149, +0.166], Spearman +0.120 [+0.113, +0.132], k_n +0.070 [+0.063, +0.077], k_f +0.089 [+0.065, +0.107], marker Jaccard −0.087 [−0.102, −0.083]); script results/audit/_nc60_paired_stats.py, table results/nc60_mcnemar_t1.csv.</w:t>
      </w:r>
    </w:p>
    <w:p>
      <w:r>
        <w:rPr>
          <w:rFonts w:ascii="Arial" w:hAnsi="Arial"/>
          <w:b w:val="0"/>
          <w:color w:val="000000"/>
          <w:sz w:val="22"/>
        </w:rPr>
        <w:t>Diagnostics and honest qualifications. First, the absolute ω FPR on T1 is not zero, and it grows with group size: 14.1% for pairs with at most 30 nuclei per library (n = 199), 27.3% for 31-500, and 48.0% above 500 (n = 269; raw JS 28.6% → 72.5%) - a real library-level technical component (capture efficiency, depth) that grows detectable with power and that the k_n denominator absorbs only partially (the T1 k_n calibration itself is 1.05). Second, a minority of cell classes show gene-specific library effects that the anchor cannot absorb: choroid plexus (n = 9 pairs, median calibration 2.31) and Bergmann glia (n = 27, 1.16) exceed the null most strongly; in choroid plexus, two libraries of the same donor, region, and type differ in k_f by up to 137-fold. The ladder thereby quantifies the library-level structure that the block-shuffle null retains by design (Supplementary Note 12): the Bergmann-glia block-shuffle null mean (21.9) lying far above its split-half baseline (9.7) reflects precisely this within-donor, within-region technical divergence. Third, per-pair nulls were used throughout (one null per pair, not one pooled null per class-size bin); the size-binned FPR gradient above is reported precisely to expose the group-size dependence that a pooled null would mask, and small-group p95 estimates are correspondingly noisy at the smallest group sizes. The simulation-level claim of absolute neutral-drift immunity (Supplementary Note 1) thus transfers to real data only as a relative-calibration advantage: lowest misreporting among the continuous divergence metrics at every tier, with sensitivity to genuine regional divergence preserved.</w:t>
      </w:r>
    </w:p>
    <w:p>
      <w:r>
        <w:rPr>
          <w:rFonts w:ascii="Arial" w:hAnsi="Arial"/>
          <w:b/>
          <w:color w:val="000000"/>
          <w:sz w:val="22"/>
        </w:rPr>
        <w:t>3.13 Per-Sample Divergence and Group Statistics for TCGA</w:t>
      </w:r>
    </w:p>
    <w:p>
      <w:r>
        <w:rPr>
          <w:rFonts w:ascii="Arial" w:hAnsi="Arial"/>
          <w:b w:val="0"/>
          <w:color w:val="000000"/>
          <w:sz w:val="22"/>
        </w:rPr>
        <w:t>Purpose and design. The main-text TCGA analysis (Results: A pan-cancer map of tissue-level divergence in tumors; Methods: Per-sample divergence and group statistics) ranks cancer types by the NN/TT ratio of mean ω, stratifies LUAD tumors by driver mutation, and tests survival association in LIHC. This section reports the full group statistics behind those claims (Supplementary Tables 12–17). Per-tumor statistics are the mean of ω, k_f, and k_n over all pairs in the linear-normalization pair table after the barcode-audit exclusion (34,828 pairs: the 478 pairs touching the 32 cell-line-derived aliquots dropped from the 35,306-pair table; authoritative file: results/tcga_linear_norm_v44_all_pairs.csv) in which a sample participates; per-sample values are not archived as a separate file and are rebuilt from that pair table plus the cBioPortal mutation labels by notebooks/nc52_tcga_excc_main.py (Reproducibility Guide, Section 5.13a). Group-level ratios carry sample-level cluster bootstrap 95% CIs (B = 1,000; seed 42; tumor and normal samples resampled with replacement independently, each pair reweighted by the product of its endpoint resampling weights). LUAD driver groups (61 EGFR, 120 KRAS, 311 wild-type (negative for both drivers); 2 double mutants excluded) were tested with Kruskal-Wallis followed by Dunn post-hoc tests with Holm correction (manual implementation, tie-corrected rank variances); group mean differences carry within-group bootstrap 95% CIs (B = 1,000). Because per-tumor ω averages overlapping (non-disjoint) pair sets, the group tests were additionally re-run as whole-tumor label-permutation tests (B = 10,000, seed 42): KW P = 0.0001; KRAS–WT P = 0.0001, KRAS–EGFR P = 0.003, EGFR–WT P = 0.21 — the published ordering and significance pattern is preserved (all permutation P-values are Monte-Carlo estimates at B = 10,000, resolution 10⁻⁴; the KRAS–EGFR P is 0.0034, whose final digit is not stable across random streams) (notebooks/93_luad_group_permutation_v49.py; output: results/nc49_tcga_luad_mutation_perm.csv). The KRAS contrast was also re-evaluated on the log-ω scale: adjusted KRAS/WT ratio 1.19, bootstrap 95% CI [1.12, 1.26], so the adjustment conclusion is scale-robust (notebooks/98_luad_logomega_sensitivity_v49.py; output: results/nc49_tcga_luad_logomega_sensitivity.csv). The LIHC survival analysis used Cox proportional-hazards regression (R survival::coxph) on the ex-CC default cohort (all 32 ILSBio cell-line tumours excluded; n = 272 tumors with complete covariates, 79 events) with per-tumor ω standardized to unit SD (hazard ratios per SD), AJCC stage entered as a categorical factor, plus Edmondson grade (G1-G4, ordinal), age, and sex (listwise deletion of missing covariates), with k_f-only, k_n-only, and tumor-normal-ω exposures as sensitivity models (Supplementary Table 3). Proportional hazards were checked with cox.zph (M2 GLOBAL P = 0.023, reported alongside the estimates); the ω null is unchanged across models (HR/SD 1.08 [0.88, 1.33], P = 0.467 in the full model; notebooks/nc52_lihc_cox_excc.py; outputs: results/nc52_lihc_cox_excc.csv, results/nc52_lihc_cox_excc_zph.csv). The adjusted LUAD driver contrasts were additionally re-run as whole-tumor label-permutation tests (B = 10,000, seed 42) that re-fit the full OLS adjustment model at every permutation: the KRAS contrasts remain significant (KRAS-WT P ≤ 0.001) while the EGFR-WT contrast does not (P ≥ 0.28), matching the parametric conclusion (notebooks/nc52_tcga_luad_adjmodel_permutation.py; output: results/nc52_tcga_luad_adjmodel_permutation.csv). Covariate sensitivity used the official ESTIMATE stromal (141) and immune (141) gene sets (rank-based single-sample enrichment; combined stromal-plus-immune score, monotonically equivalent to published ESTIMATE purity) and cBioPortal patient-level LUAD clinical data (study luad_tcga; smoking status 508, pack-years 356, sex 522 patients; 427 of 492 tumors with known smoking status, 87%). Scripts: notebooks/nc52_tcga_excc_main.py (seed 42; ex-CC default main chain: pan-cancer ratios, clinical severity, summary), notebooks/nc49_tcga_purity.py, notebooks/nc49_tcga_luad_smoking.py, notebooks/nc49_tcga_kf_composition.py; outputs: results/nc52_tcga_pancancer_excc.csv, results/nc52_tcga_excc_severity.csv, results/nc52_tcga_excc_summary.json, results/nc49_tcga_luad_mutation.csv, results/nc49_tcga_purity.csv, results/nc49_tcga_admix_scores.csv, results/nc49_tcga_luad_smoking.csv, results/nc49_tcga_kf_composition.csv.</w:t>
      </w:r>
    </w:p>
    <w:p>
      <w:r>
        <w:rPr>
          <w:rFonts w:ascii="Arial" w:hAnsi="Arial"/>
          <w:b w:val="0"/>
          <w:color w:val="000000"/>
          <w:sz w:val="22"/>
        </w:rPr>
        <w:t>LUAD driver-mutation stratification. Mean per-tumor ω was highest in KRAS-mutant tumors (136.9), exceeding wild-type (115.4) and EGFR-mutant tumors (122.2; Kruskal-Wallis P = 7.8 × 10⁻⁷; Supplementary Tables 13 and 14). The k_f/k_n decomposition separates the two drivers’ associations: the KRAS contrast carries a functional component - k_f is elevated in KRAS-mutant tumors (KRAS versus EGFR, Dunn-Holm P = 0.015; KRAS-wild-type k_f difference 0.011, 95% CI 0.002-0.019) accompanied by a lower k_n (wild-type &gt; KRAS, Dunn-Holm P = 4.2 × 10⁻⁴), both of which raise the ratio; the unadjusted elevation is denominator-dominated (k_n contributed ~73% of the log-ω gap (mean-log identity estimand); the unadjusted k_f contrast KRAS versus WT was non-significant, Dunn P = 0.097), so both the unadjusted decomposition and the covariate-adjusted estimates below are reported; the EGFR association shows no significant k_f difference (all Holm-adjusted P &gt; 0.09) and no significant k_n difference (WT &gt; EGFR, P = 0.09). Covariate adjustment resolves the two drivers differently (Supplementary Tables 15–17): after adjustment for stromal/immune admixture the KRAS-wild-type contrast retains both components (k_f +0.012, P = 0.009; k_n -0.0004, P = 0.003) and likewise survives joint smoking-plus-admixture adjustment (omega +13.6, P = 3.3 × 10⁻⁴), whereas the EGFR-wild-type differences disappear entirely under purity adjustment (all P &gt; 0.4) - EGFR-mutant tumors carry the highest admixture scores (Kruskal-Wallis P = 0.003), so the apparent EGFR elevation is an admixture artefact.</w:t>
      </w:r>
    </w:p>
    <w:p>
      <w:r>
        <w:rPr>
          <w:rFonts w:ascii="Arial" w:hAnsi="Arial"/>
          <w:b w:val="0"/>
          <w:color w:val="000000"/>
          <w:sz w:val="22"/>
        </w:rPr>
        <w:t>Purity and smoking covariate sensitivity. Stromal/immune admixture was scored per sample with the official ESTIMATE gene sets (141 stromal + 141 immune genes) using the rank-based single-sample enrichment algorithm over all 45,504 expressed genes of the five-cancer merged matrix; the combined stromal-plus-immune score is monotonically equivalent to published ESTIMATE purity, so regression-based adjustment is invariant to the transformation. Per-tumor k_n correlated negatively with admixture in every cancer type, and restricting tumor-tumor pairs to the low-admixture half of tumors increased the NN/TT ratio in all five cancer types (Supplementary Table 15), so the pan-cancer reversal is not an admixture artefact. In LUAD, admixture differed across driver groups (highest in EGFR-mutant tumors), and OLS adjustment for admixture abolished the EGFR-wild-type differences while preserving both KRAS-wild-type components (Supplementary Table 16); smoking status (ever/never, available for 427 of 492 LUAD tumors, 87%) was strongly confounded with driver group but did not carry the divergence association (Supplementary Table 17).</w:t>
      </w:r>
    </w:p>
    <w:p>
      <w:r>
        <w:rPr>
          <w:rFonts w:ascii="Arial" w:hAnsi="Arial"/>
          <w:b w:val="0"/>
          <w:color w:val="000000"/>
          <w:sz w:val="22"/>
        </w:rPr>
        <w:t>Panel semantics and composition correction for k_f. Enrichment of the LUAD KRAS tumor-tumor identity panels (all 7,260 KRAS-KRAS pairs, top-200 genes per pair; core panel by the documented frequency fallback) against the 50 MSigDB Hallmark programs found no program surviving multiple-testing correction (top: Estrogen Response Late, q = 0.24; recurrent panel members are dominated by individually variable, sex-linked and secreted markers), indicating that bulk k_f measures broad tissue-state divergence rather than a single tumor-intrinsic program; pair-level regressions of log k_f on pair type with ESTIMATE admixture covariates retained the TT ≥ NN k_f ordering in all five cancer types (adjusted log gaps +0.21 to +0.82, all P ≤ 8.2 × 10⁻⁸⁰), so the k_f group differences are not explained by stromal/immune admixture. Script: notebooks/nc49_tcga_kf_composition.py; output: results/nc49_tcga_kf_composition.csv.</w:t>
      </w:r>
    </w:p>
    <w:p>
      <w:r>
        <w:rPr>
          <w:rFonts w:ascii="Arial" w:hAnsi="Arial"/>
          <w:b w:val="0"/>
          <w:color w:val="000000"/>
          <w:sz w:val="22"/>
        </w:rPr>
        <w:t>Additional driver-stratification controls (migrated from the main text in v50). The admixture-adjusted KRAS–wild-type differences were significant for both components (Δω +16.8, P = 4.0 × 10⁻⁶; Δk_f +0.012, P = 0.009; Δk_n −0.0004, P = 0.003; adjusted log-ω ratio 1.19, bootstrap 95% CI [1.12, 1.26]). KRAS-mutant tumors were strongly enriched for ever-smokers (94% versus 63% EGFR-mutant and 86% wild-type, χ² = 30.3, P = 2.7 × 10⁻⁷); smoking-adjusted contrasts remained significant (Δω +13.9, P = 5.9 × 10⁻⁴ smoking alone; +13.6, P = 3.3 × 10⁻⁴ with admixture; +13.3, P = 1.4 × 10⁻³ with smoking, age, and sex; smoking status covered 427 of 492 tumors, 87%). KRAS-mutant LUAD also differs from wild-type in TP53 co-mutation rate and histological subtype (invasive mucinous adenocarcinoma is KRAS-enriched); neither was adjusted for. The ex-CC default cohort (the 32 cell-line-derived (CC) LIHC samples excluded from all v52 analyses) keeps the LIHC null result and the high-purity-half analysis unchanged (NN/TT 1.11 [0.94, 1.30], which includes 1; the TT k_n/NN k_n ratio 1.34 [1.02, 1.89] excludes 1 ex-CC, so the k_n elevation is nominally significant; high-purity-half 1.17 full-cohort (95% CI [0.97, 1.41]) versus 1.19 excluding CC (95% CI [1.01, 1.44])); the full barcode source-code audit is documented in the Reproducibility Guide (notebooks/94_cc_audit_sensitivity_v49.py).</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(493 tumor + 76 normal), LUSC (534 + 58), LIHC (398 + 57), KIRC (750 + 82), BRCA (1,010 + 109), totaling n = 3,567 samples in the pair-level analysis before the barcode audit (of the 3,596 expression-matrix samples, 3 do not appear in the assembled pair table, and 26 further samples appear only in tumor–normal pairs; the pair table spans 3,593 unique barcodes). The ex-CC default cohort excludes the 32 cell-line-derived (CC) LIHC aliquots, leaving 3,535 samples (LIHC 366 tumor + 57 normal) for all reported analyses; the GTEx comparison and the reference-free composition fallback (Supplementary Note 10) instead use the full expression-matrix cohort (3,596 samples, e.g. KIRC 754 tumors, of which 750 are retained in pair-level analysis).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8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AUC interval methods (v52). The main-text AUC 95% CI [0.770, 0.838] is the DeLong interval on the 850-replicate ROC (600 signal, 250 neutral replicates). A module-seed cluster bootstrap (resampling the three module-seed clusters on the signal side plus iid neutral replicates, B = 5,000, seed 42) gives a near-identical interval [0.771, 0.836], so the DeLong caliber is robust to the clustered simulation design; fixed-specificity sensitivity values are tabulated in results/nc52_stats_auc_ci_methods.csv (script scripts/nc52_stats_resampling.py).</w:t>
      </w:r>
    </w:p>
    <w:p>
      <w:r>
        <w:rPr>
          <w:rFonts w:ascii="Arial" w:hAnsi="Arial"/>
          <w:b w:val="0"/>
          <w:color w:val="000000"/>
          <w:sz w:val="22"/>
        </w:rPr>
        <w:t>Paired AUC contrasts (nc60). All six metrics are scored on the same 850 replicates, so their AUCs are correlated; a paired DeLong test on the ω-versus-k_f contrast (the two best metrics) gives ΔAUC = +0.088 (SE 0.010; 95% CI [0.068, 0.109]; z = 8.5; P = 2.4 × 10⁻¹⁷), and a module-seed cluster bootstrap of the difference (three module-seed clusters resampled on the signal side plus iid neutral replicates, B = 5,000, seed 42) gives [0.070, 0.108] with no non-positive replicate. Paired contrasts against k_total, cosine, k_f/k_total, and k_n are likewise significant (all P &lt; 10⁻⁸; table results/nc60_paired_dauc.csv; script results/audit/_nc60_paired_stats.py, whose DeLong implementation reproduces the nc52 single-metric intervals above to 4 decimals).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r>
        <w:rPr>
          <w:rFonts w:ascii="Arial" w:hAnsi="Arial"/>
          <w:b w:val="0"/>
          <w:color w:val="000000"/>
          <w:sz w:val="22"/>
        </w:rPr>
        <w:t>Second-background detail (migrated from the main text in v51): the skin k_f selection floor is lower than marrow (median 0.011 versus 0.025); at δ = 1, ω detection was 0.91 versus 0.00 in marrow, and under the fourfold cell-count imbalance k_f retained higher power (0.98–1.00 versus 0.04–0.20).</w:t>
      </w:r>
    </w:p>
    <w:p>
      <w:pPr>
        <w:pStyle w:val="Heading2"/>
      </w:pPr>
      <w:r>
        <w:t>Supplementary Note 2: Small-Cluster Bootstrap Corrections for Region-Clustered CIs</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3.10) yielded a replicate-baseline mean ω = 7.70 (two-stage population-resampled bootstrap 95% CI [6.38, 9.82], B = 5,000; the 300-value intervals [7.37, 8.02]/[7.38, 8.02] are pseudo-replicated and superseded), and the legacy single-split estimate 6.67 [4.24, 9.24] lies inside the widened CI and is superseded. We introduce calibrated ω: omega_cal = omega_obs / 7.70, which rescales all values so that equivalent populations yield omega_cal ~ 1.0. Given the width of the baseline CI (±21% relative half-width), calibrated values carry roughly one significant figure of resolution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[6.38, 9.82],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the calibration-relevant results. (Supplementary Fig. 2.)</w:t>
      </w:r>
    </w:p>
    <w:p>
      <w:r>
        <w:rPr>
          <w:rFonts w:ascii="Arial" w:hAnsi="Arial"/>
          <w:b w:val="0"/>
          <w:color w:val="000000"/>
          <w:sz w:val="22"/>
        </w:rPr>
        <w:t>Small-cluster correction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absorption statement is conditional: it holds (i) because the baseline and the test statistic share the same estimator, gene panels, and preprocessing, so the bias factor enters both alike; (ii) because the bias is a smooth function of k_n (delta-method ρ = 0.99 above), so matching on the k_n scale matches the bias; and (iii) because inference compares ω against the empirical null distribution rather than against absolute thresholds. It does not transfer across k_n scales—a small-denominator pair read against a large-denominator baseline would retain the +6.5% small-bin bias.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1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k_n-permutation floor (v52; cited in the main-text Discussion). To test whether the observed ω–k_f correlation is mathematically forced by the shared k_f numerator, k_n was permuted across pairs (B = 1,000, seed 42) and the floor correlation corr(k_f/k_n_perm, k_f) computed. On the full-inventory human pair set (5,151 pairs, the 102-entry inventory before the 99-entry filter that yields the 4,851 analyzed pairs), the floor is 0.524 (95% CI [0.506, 0.541]) while the observed Spearman correlation is 0.089—far below the floor, so the structured baseline decorrelates ω from k_f. On the mouse full matrix (703 pairs) the floor is 0.857 [0.843, 0.870] and the observed 0.821 sits essentially at it: the high mouse ω–k_f correlation is mathematically forced and dataset-dependent, not biological coupling. Script: scripts/nc52_stats_resampling.py; output: results/nc52_stats_omega_kf_math_floor.csv.</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ex-CC linear-normalization re-analysis at kn_floor = 0, notebooks/nc52_tcga_excc_main.py, results/nc52_tcga_excc_severity.csv (the pre-exclusion run is archived as results/superseded/tcga_clinical_severity_v44.csv), which mirrors the published pipeline of notebooks/83_kf_only_ordering.py; ordering, direction, and significance are identical to the earlier softmax run, with ω levels shifted upward by about 5-20). LIHC Edmondson grade: mean ω is highest in G1, roughly flat across G2–G3, and lowest in G4 (78.8, 75.8, 77.6, 72.3 for G1–G4; Jonckheere-Terpstra P &lt; 10⁻¹⁵), but k_f increases with grade (JT P = 8.4 × 10⁻¹²) and k_n increases in parallel (JT P &lt; 10⁻¹⁵),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only the LUAD driver-mutation contrast as a primary result; the LIHC Edmondson and BRCA PAM50 gradients are reported here as denominator-dominated vignettes (Supplementary Fig. 5b), and the full values and test details are given in Supplementary Table 18. The k_f-only controls are post-hoc; the P-values reported here (three severity analyses crossed with three metrics) are nominal and carry no multiplicity correction. Scripts: notebooks/83_kf_only_ordering.py (published softmax run) and notebooks/nc52_tcga_excc_main.py (ex-CC linear re-analysis); outputs: results/kf_only_ordering.csv, results/kf_only_ordering.json, results/kf_only_severity.csv, results/kf_only_ordering.txt, results/nc52_tcga_excc_severity.csv.</w:t>
      </w:r>
    </w:p>
    <w:p>
      <w:r>
        <w:rPr>
          <w:rFonts w:ascii="Arial" w:hAnsi="Arial"/>
          <w:b w:val="0"/>
          <w:color w:val="000000"/>
          <w:sz w:val="22"/>
        </w:rPr>
        <w:t>Same-organ decomposition values (migrated from the main text in v51): same-organ pairs have indistinguishable k_f (0.247 vs. 0.250, P = 0.60) but lower k_n (0.0130 vs. 0.0148, P = 3.0 × 10⁻¹⁶), contributing +0.176 on the log scale (factor 1.19).</w:t>
      </w:r>
    </w:p>
    <w:p>
      <w:pPr>
        <w:pStyle w:val="Heading2"/>
      </w:pPr>
      <w:r>
        <w:t>Supplementary Note 6: Non-HK-Anchored Neutral Drift Controls</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7: Human-Brain Sanity Check on the Microglia Supercluster</w:t>
      </w:r>
    </w:p>
    <w:p>
      <w:r>
        <w:rPr>
          <w:rFonts w:ascii="Arial" w:hAnsi="Arial"/>
          <w:b w:val="0"/>
          <w:color w:val="000000"/>
          <w:sz w:val="22"/>
        </w:rPr>
        <w:t>This note reports a sanity check on data not used in any main-text analysis: the Microglia supercluster of the Human Brain Cell Atlas v1.0 (Siletti et al.; CZ CELLxGENE Discover, collection 283d65eb-dd53-496d-adb7-7570c7caa443; 91,838 nuclei, 58,232 genes), which carries two cell_type labels—microglial cell (88,494 nuclei) and central nervous system macrophage (CNS-Mφ; 3,344 nuclei)—across 4 donors, 598 samples, and 10 brain regions. Pseudobulks were computed per (cell_type × sample) group (≥ 20 cells; 563 eligible groups, 89,533 nuclei) with the Tabula Sapiens pipeline order (per-cell normalize_total(1e4) + log1p, then group means); k_n used the HRT Atlas v1.0 human HK genes (1,107 matched) and k_f the global seurat HVG 2,000 panel excluding HK (1,973 genes), with kn_floor = 1 × 10⁻⁴ and seed 42. The functional contrast comprised 35 sample-matched microglia-versus-CNS-Mφ pairs (within-sample, controlling donor, region, and batch); neutral contrasts comprised 20 random half-splits per cell type of the same (cell_type, sample) group (microglia halves ≥ 100 cells from 95 groups ≥ 200 cells; CNS-Mφ halves ≥ 50 cells from 4 groups ≥ 100 cells, within the recommended 50–200 cell operating window).</w:t>
      </w:r>
    </w:p>
    <w:p>
      <w:r>
        <w:rPr>
          <w:rFonts w:ascii="Arial" w:hAnsi="Arial"/>
          <w:b w:val="0"/>
          <w:color w:val="000000"/>
          <w:sz w:val="22"/>
        </w:rPr>
        <w:t>CKI ω separated the functional contrast from the neutral baseline completely: ω = 21.83 ± 7.20 (functional) versus 1.30 ± 0.36 (neutral), Mann-Whitney P = 5.5 × 10⁻¹⁴, exact rank AUC = 1.00. The margin is carried by the functional component: k_f (0.064 ± 0.012 versus 0.0020 ± 0.0016, AUC = 1.00) separates perfectly, whereas k_n (0.0033 ± 0.0011 versus 0.0014 ± 0.0009) is only partially elevated (AUC = 0.89)—the decomposition-first reading argued throughout the manuscript. Standard metrics also separated the classes (raw JS, cosine, and marker Jaccard AUC = 1.00; Spearman 0.90), as expected for two genuinely distinct cell types; the sanity-check value lies in ω tracking the functional contrast far above its own neutral baseline on an independent dataset. Note that this analysis uses the global-HVG scheme, not the per-pair top-200 hybrid scheme, so absolute ω values sit on a different scale from the 7.70-calibrated hybrid baseline and are compared internally only. Scripts: notebooks/nc50_brain_atlas_microglia.py and notebooks/nc50_fig_microglia.py; outputs: results/nc50_brain_atlas_microglia.csv and .txt. (Supplementary Fig. 3.)</w:t>
      </w:r>
    </w:p>
    <w:p>
      <w:r>
        <w:br w:type="page"/>
      </w:r>
    </w:p>
    <w:p>
      <w:pPr>
        <w:pStyle w:val="Heading2"/>
      </w:pPr>
      <w:r>
        <w:t>Supplementary Note 8: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4). Script: notebooks/79_kang_ifnb_demo.py; outputs: results/kang_ifnb_demo_pairs.csv (709 pairs), results/kang_ifnb_demo_summary.json.</w:t>
      </w:r>
    </w:p>
    <w:p>
      <w:r>
        <w:rPr>
          <w:rFonts w:ascii="Arial" w:hAnsi="Arial"/>
          <w:b w:val="0"/>
          <w:color w:val="000000"/>
          <w:sz w:val="22"/>
        </w:rPr>
        <w:t>Effect-scale detail (migrated from the main text in v51): median within-donor stimulated-versus-control ω exceeded median donor-versus-donor ω by 1.1–2.0-fold.</w:t>
      </w:r>
    </w:p>
    <w:p>
      <w:pPr>
        <w:pStyle w:val="Heading2"/>
      </w:pPr>
      <w:r>
        <w:t>Supplementary Note 9: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estimand of the “upper bound” statement is precise: the target is the same-pair k_f computed on a non-circular (leave-pair-out) panel, i.e., the value the estimator would take without selection on the observed difference; the 1.61-fold figure is a median across the pair distribution (IQR 1.27-2.07), not a deterministic per-pair inequality, and it holds under the same background, scheme, and preprocessing.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r>
        <w:rPr>
          <w:rFonts w:ascii="Arial" w:hAnsi="Arial"/>
          <w:b w:val="0"/>
          <w:color w:val="000000"/>
          <w:sz w:val="22"/>
        </w:rPr>
        <w:t>Panel grand means and ranking robustness (migrated from the main text in v51): 38.55 reported, 26.5 leave-pair-out, 6.5 fixed, 5.3 unselected; the circular panel inflated k_f by a median 1.61-fold relative to leave-pair-out and by 6.1- and 7.3-fold relative to the fixed and unselected panels, and the multiplicative-residual ranking correlated at ρ = 0.86–0.88 across schemes.</w:t>
      </w:r>
    </w:p>
    <w:p>
      <w:pPr>
        <w:pStyle w:val="Heading2"/>
      </w:pPr>
      <w:r>
        <w:t>Supplementary Note 10: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on this composition-check pair set of 25,306 NN+TT pairs; on the main 35,306-pair linear table the corresponding medians are 2.60, 2.53, 2.08, 3.61, and 2.78—the difference is the pair set, not the estimator;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(softmax caliber; superseded by the linear-normalization update at the end of this note, the authoritative caliber for the regression and correlation estimates cited in the manuscript),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Linear-normalization update (authoritative caliber, ex-CC default cohort, v52). The composition check was re-run on the ex-CC linear-normalization pair table of Section 1.7 (script notebooks/nc52_tcga_composition_excc.py, mirroring script 74 with the four marker panels and the sample-level cluster bootstrap; B = 1,000, seed 42; 25,015 ex-CC pairs with the 291 CC-touching pairs dropped and the CC samples also excluded from the z-score standardization population; outputs results/nc52_tcga_composition_excc.{csv,txt}); the pre-exclusion run is archived as results/superseded/tcga_composition_v44.{csv,txt}. All conclusions are unchanged: tumor–tumor pairs show larger composition differences than normal–normal pairs (median |Δz| 1.305-fold for the three-panel composite, P = 2.63 × 10⁻¹³⁵, and 1.216-fold with the myeloid panel included, P = 4.67 × 10⁻⁶⁸; the myeloid panel alone shows no tumour excess, ratio 1.001, P = 0.982); pooled four-panel attenuation −0.9% (cluster-bootstrap median −0.8%, 95% CI [−4.3%, +2.5%]); per-cancer attenuation LIHC +44.1% [+29.9%, +60.0%], KIRC +19.7% [+14.5%, +25.3%], BRCA −15.9% [−24.5%, −7.3%], LUAD −2.0% [−8.0%, +5.1%], LUSC −9.0% [−26.6%, +6.1%]; the within-TT correlation of k_n with the composition difference is Spearman ρ = 0.380 pooled (n = 9,709 pairs, P &lt; 10⁻³⁰⁰; per-cancer 0.223–0.513, n = 2,000 per cancer except LIHC n = 1,709, all P ≤ 6.3 × 10⁻²³; these correlation P-values treat pairs as independent and are reported as descriptive only, with the cluster bootstrap carrying the inferential weight). Composition covariates still absorb a substantial share of the tumor-pair coefficient in LIHC and KIRC but not in the other cancer types, and the pooled near-zero estimate still masks this heterogeneity. These linear-normalization estimates are the ones cited in the manuscript.</w:t>
      </w:r>
    </w:p>
    <w:p>
      <w:r>
        <w:rPr>
          <w:rFonts w:ascii="Arial" w:hAnsi="Arial"/>
          <w:b w:val="0"/>
          <w:color w:val="000000"/>
          <w:sz w:val="22"/>
        </w:rPr>
        <w:t>Purity sensitivity detail (migrated from the main text in v51): high-purity-half comparisons increased the NN/TT ω ratio in all five cancer types (e.g. LUAD 2.46 → 2.86, NN/TT ω ratios, not k_n fold-changes); per-tumor k_n correlated negatively with admixture, r = −0.23 to −0.42 across the five cancer types (range restored to the SI in v51r2).</w:t>
      </w:r>
    </w:p>
    <w:p>
      <w:r>
        <w:rPr>
          <w:rFonts w:ascii="Arial" w:hAnsi="Arial"/>
          <w:b w:val="0"/>
          <w:color w:val="000000"/>
          <w:sz w:val="22"/>
        </w:rPr>
        <w:t>GTEx healthy reference (v52). To separate tumor-specific housekeeping elevation from a field effect, GTEx V8 gene-level TPM (gtexportal.org; lung n = 288, liver n = 110, kidney cortex n = 28, breast n = 179 after QC and seed-42 subsampling to ≤ 300 per tissue) was processed with the identical k_n pipeline (HRT Atlas HK panel, linear (TPM+1)/Σ mapping, kn_floor = 1 × 10⁻⁴, seed 42; script notebooks/nc52_gtex_kn.py; results/nc52_gtex_kn_by_grouptype.csv). Median k_n by pair type: lung GTEx–GTEx 1.14 × 10⁻³ versus adjacent–adjacent 9.7 × 10⁻⁴ versus tumor–tumor 2.50 × 10⁻³; liver 1.98 × 10⁻³ / 1.92 × 10⁻³ / 3.98 × 10⁻³; breast 9.1 × 10⁻⁴ / 8.7 × 10⁻⁴ / 2.41 × 10⁻³—in all three organs the adjacent-normal baseline is at the healthy level (healthy/adjacent ≈ 1.0–1.2; in liver the two medians coincide (ratio 1.03) but the distributions differ, one-sided MWU P = 3.8 × 10⁻⁵, with a heavier adjacent upper tail) while tumor is 2.0–2.8-fold higher (TT ≫ NN, P ≤ 3.2 × 10⁻⁸⁴), so the elevation is tumor-specific rather than a field effect. Kidney is the exception: GTEx cortex k_n (2.38 × 10⁻³) ≈ tumor (2.60 × 10⁻³) ≫ adjacent (7.2 × 10⁻⁴), with only n = 28 and very high variance (GTEx kidney autolysis is documented), so no conclusion is drawn for KIRC. Cross-cohort GTEx–adjacent pairs show k_n elevated to tumor levels in every organ (P ≤ 1.4 × 10⁻²⁶), a cohort-level technical effect; mechanistic claims therefore rest on within-cohort orderings only. The cross-cohort shift (GTEx–adjacent versus GTEx–GTEx pair k_n, ratio ≈ 1.8–2.3× in lung, liver, and breast; kidney 1.6×) bounds the resolution of the healthy–adjacent comparison; the healthy ≈ adjacent similarity should be read within that tolerance (tentative, GTEx cross-cohort discrepancy unresolved). Pair-level P values in this GTEx comparison treat pairs as independent and are descriptive only.</w:t>
      </w:r>
    </w:p>
    <w:p>
      <w:r>
        <w:rPr>
          <w:rFonts w:ascii="Arial" w:hAnsi="Arial"/>
          <w:b w:val="0"/>
          <w:color w:val="000000"/>
          <w:sz w:val="22"/>
        </w:rPr>
        <w:t>Reference-free composition fallback (v52). Full deconvolution tools were not executable in the offline revision environment (CIBERSORTx requires an online API token; BayesPrism is not installed), so a reference-free non-negative least-squares fallback was run on the full expression-matrix cohort (LIHC 366 and KIRC 754 tumors, 750 KIRC retained at pair level; seed 42, 60 markers per compartment): each tumor is decomposed into endothelial, epithelial, immune, and residual fractions, and the non-parenchymal fraction is correlated with per-tumor k_n. The estimator itself is reproducible (split-half Spearman ρ = 0.934 LIHC, 0.964 KIRC), but the non-parenchymal fraction tracks k_n only weakly (Spearman ρ = 0.20 LIHC, 0.26 KIRC), so measurable composition shifts explain at most a small share of the per-tumor k_n elevation—consistent with the marker-panel check above. Script: notebooks/nc52_tcga_deconv_feasibility.py; outputs: results/nc52_tcga_deconv_feasibility.{csv,json} and results/nc52_tcga_deconv_{lihc,kirc}_pertumor.csv.</w:t>
      </w:r>
    </w:p>
    <w:p>
      <w:pPr>
        <w:pStyle w:val="Heading2"/>
      </w:pPr>
      <w:r>
        <w:t>Supplementary Note 11: Brain Class-Size Confounding Controls and min-cells Threshold Sensitivity</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However, that interval propagates only cell-resampling noise at fixed donors; a donor-level cluster bootstrap (B = 1,000, seed 42; the four donors resampled with replacement, the full pipeline recomputed per resample) yields median 1.56 with 95% CI [0.80, 2.34] (12.6% of replicates below 1; leave-one-donor-out range [0.93, 1.76]; donor×region block bootstrap [0.76, 2.13]): with only four donors—and Bergmann glia present in three—the size-only equal-n gradient is not separable from donor composition, and it is therefore reported as a sensitivity analysis rather than a headline (main text). Roughly 70% of the full-data 6.10-fold magnitude therefore reflects class-size imbalance and is disclosed as such in the main text; the direction of the gradient is robust. The span-matched intra-cerebellar control (main text; 21 matched region pairs) decomposes the residual 3.68-fold gradient into k_f 1.39 and k_n 0.33 (ratios of class means; median paired k_f ratio 1.58), so a substantial share of the residual gradient is carried by the k_n denominator rather than the k_f numerator (results/nc49_brain_region_matched_summary.csv). The min-cells threshold sweep is given in Supplementary Table 19.</w:t>
      </w:r>
    </w:p>
    <w:p>
      <w:r>
        <w:rPr>
          <w:rFonts w:ascii="Arial" w:hAnsi="Arial"/>
          <w:b w:val="0"/>
          <w:color w:val="000000"/>
          <w:sz w:val="22"/>
        </w:rPr>
        <w:t>Span-matched and equal-n decomposition controls (migrated from the main text in v50). Restricting astrocytes to the 21 intra-cerebellar region pairs that define Bergmann glia yields a span-matched gradient of 3.68 (ratio of class means; paired per-region-pair median 4.30, bootstrap 95% CI [3.40, 4.95]; notebooks/95_brain_region_matched_v49.py), so the gradient persists, at reduced magnitude, after size and span controls. Unlike the size-only control, the span-matched gradient is robust at the donor level: the same donor cluster bootstrap (B = 1,000, seed 42) gives a ratio-of-means gradient of 3.28 [1.67, 3.97] and a paired-median of 3.99 [2.56, 4.30], with every leave-one-donor-out replicate above 1 (notebooks/nc52_brain_donor_bootstrap.py). A combined span- and size-matched control (equal-n downsampling inside the 21 matched pairs, target 7,965 nuclei per class, 20 replicates) yields an observed gradient of 3.66 [3.60, 3.71] across cell-resampling replicates and a donor-level median of 3.28 [1.92, 3.78] (leave-one-donor-out 2.31–3.68, all above 1): this combined estimate is the main-text headline because it controls span and size simultaneously and remains significant under donor resampling (results/nc52_brain_combined_equaln_spanmatch.csv). Decomposing the equal-n residual: the astrocyte/Bergmann-glia k_f ratio is 2.09 (95% CI [2.02, 2.18]) under equal-n—essentially the full-data value (2.03)—whereas the k_n ratio reverses direction (equal-n 1.29, 95% CI [1.21, 1.41], astrocyte higher; full-data 0.31, Bergmann glia higher), so the Bergmann-glia k_n elevation in the full data is largely a class-size artefact (notebooks/96_brain_downsample_decomp_v49.py). Ordering controls: the k_f-only gradient is 4.1-fold and the k_n-only gradient 6.7-fold; the class-mean ordering is stable under an aggregate-first k_n estimator (Spearman ρ = 0.988, gradient 6.51-fold) but not under a single global k_n (ρ = 0.09).</w:t>
      </w:r>
    </w:p>
    <w:p>
      <w:r>
        <w:rPr>
          <w:rFonts w:ascii="Arial" w:hAnsi="Arial"/>
          <w:b w:val="0"/>
          <w:color w:val="000000"/>
          <w:sz w:val="22"/>
        </w:rPr>
        <w:t>RNA-quality proxies (v52). The atlas metadata carries no PMI or RIN, so technical variation was proxied by mean detected genes, mean total UMI, and mitochondrial fraction per group. At the (class, library) level (4,906 pairs), per-pair regression of log10(k_n/k_f/ω) on the three proxies shows that mitochondrial fraction explains parts of k_n and k_f (R² 0.225→0.271 and 0.442→0.504 when added) but not of ω (0.300→0.308), and the T3 (cross-region) ω coefficient attenuates from 0.257 to 0.202 (−21%) but remains; at the (class, region) level, adjusting class means for the proxies leaves the endpoint gradient at 6.33 (depth/UMI) to 6.45 (adding mitochondrial fraction) versus 6.10 unadjusted. Technical variation capturable by depth, capture, and composition proxies therefore does not drive the gradient—the shared technical component cancels in the ratio, as designed; PMI-related RNA-degradation deformation cannot be excluded (scripts notebooks/nc52_brain_quality_regression.py, notebooks/nc52_brain_quality_mito.py).</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11.</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r>
        <w:rPr>
          <w:rFonts w:ascii="Arial" w:hAnsi="Arial"/>
          <w:b w:val="0"/>
          <w:color w:val="000000"/>
          <w:sz w:val="22"/>
        </w:rPr>
        <w:t>Donor-stratified null transparency. The per-class detail behind the manuscript statement that 3 of 10 classes survive the donor-stratified null is tabulated in results/nc49_donor_stratified_table.csv: for each class it lists the permutation P-value and BH q-value both with and without donor stratification, the number of shufflable libraries (libraries belonging to donors with more than one library; single-library donors are fixed by design), the per-donor library counts, and the exact probability that a random donor-stratified shuffle returns the identity assignment — the analytic floor on the attainable one-sided P-value, since the permutation engine retains identity draws as valid. That floor is negligible for every class (identity-permutation share at most 4.8 × 10⁻²³¹), so the nulls are not degenerate; the three surviving classes are astrocytes (stratified q = 0.005), oligodendrocyte precursors (0.005), and committed oligodendrocyte precursors (0.043). One class moves against the conservative direction: ependymal cells obtain a smaller P under the donor-stratified null than under the free null (0.021 versus 0.058), because the within-donor shuffle space differs in composition from the unrestricted one (the two nulls are not nested); its stratified BH q (0.052) nonetheless exceeds 0.05, so it is not counted among the survivors. Script: notebooks/97_donor_stratified_table_v49.py.</w:t>
      </w:r>
    </w:p>
    <w:p>
      <w:r>
        <w:rPr>
          <w:rFonts w:ascii="Arial" w:hAnsi="Arial"/>
          <w:b w:val="0"/>
          <w:color w:val="000000"/>
          <w:sz w:val="22"/>
        </w:rPr>
        <w:t>Within-donor gradient values (migrated from the main text in v51): astrocytes remained the most divergent class (mean ω = 75.18 across 11,139 within-donor pairs, versus 82.75 pooled) and Bergmann glia the least (16.73), a 4.50-fold gradient.</w:t>
      </w:r>
    </w:p>
    <w:p>
      <w:pPr>
        <w:pStyle w:val="Heading2"/>
      </w:pPr>
      <w:r>
        <w:t>Supplementary Note 13: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14: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r>
        <w:rPr>
          <w:rFonts w:ascii="Arial" w:hAnsi="Arial"/>
          <w:b w:val="0"/>
          <w:color w:val="000000"/>
          <w:sz w:val="22"/>
        </w:rPr>
        <w:t>Microglia composition null (migrated from the main text in v50). The microglial share-level enrichment among Strong candidates (16 of 39; raw share-level 2.30-fold, hypergeometric P = 6.0 × 10⁻⁴) does not survive the design-matched null: the Strong rule fires preferentially on low-ω classes, so 52.0 of the 148.3 null-rule candidates are microglial (observed 16, fold 0.31, P = 0.990), and the concentration does not survive the leave-pair-out panel.</w:t>
      </w:r>
    </w:p>
    <w:p>
      <w:pPr>
        <w:pStyle w:val="Heading2"/>
      </w:pPr>
      <w:r>
        <w:t>Supplementary Note 15: Comparison with Augur Cell-Type Prioritization</w:t>
      </w:r>
    </w:p>
    <w:p>
      <w:r>
        <w:rPr>
          <w:rFonts w:ascii="Arial" w:hAnsi="Arial"/>
          <w:b w:val="0"/>
          <w:color w:val="000000"/>
          <w:sz w:val="22"/>
        </w:rPr>
        <w:t>Augur (Skinnider et al., Nat. Biotechnol. 2021; main-text ref. 37)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3.14, we used pyaugur 0.1.0, a pure-Python port of R Augur v1.0.3; the port’s own validation benchmark (shipped with the pyaugur package) reports Spearman ρ = 1.0 against the R reference implementation—we note that this is the port’s self-reported benchmark rather than an independent validation by us.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a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 The two variants were specified before comparing against CKI, and both are reported below.</w:t>
      </w:r>
    </w:p>
    <w:p>
      <w:r>
        <w:rPr>
          <w:rFonts w:ascii="Arial" w:hAnsi="Arial"/>
          <w:b w:val="0"/>
          <w:color w:val="000000"/>
          <w:sz w:val="22"/>
        </w:rPr>
        <w:t>Under the confound-controlled binary one-vs-rest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this pattern is consistent with, but does not establish, a shared basis in HK-anchored divergence—the two methods are complementary rather than redundant. The multiclass variant is reported as a sensitivity analysis alongside the above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rPr>
          <w:rFonts w:ascii="Arial" w:hAnsi="Arial"/>
          <w:b w:val="0"/>
          <w:color w:val="000000"/>
          <w:sz w:val="22"/>
        </w:rPr>
        <w:t>Extended null families (notebooks/84_dirichlet_overdispersed_dimension.py; results/dirichlet_overdispersed_dimension.csv) probe the extrapolation boundary of this claim with 2,000 pairs per setting at d = 50, 1,130, 2,000, and 5,000 (seed 42). (A) Population-level Dirichlet at concentration α = 0.1, 1, 2, and 10: mean JS is dimension-invariant for d ≥ 1,130 (ratio d = 2,000 versus 1,130: 0.999-1.000; d = 5,000 versus 1,130: 0.998-1.000; d = 50 sits ~2% lower), while the absolute level rises strongly as α → 0 (0.035 at α = 10 to 0.806 at α = 0.1)—sparsity changes the level, not the dimension scaling. (B) Zero-inflated sparse mixtures (structural-zero fractions z = 0.5, 0.8, 0.9 on α = 2 Dirichlet draws): mean JS is again dimension-invariant (ratios 0.999-1.009), though the level rises with z (0.58-0.92). (C) Dirichlet-multinomial finite-count sampling under the same-distribution null (two independent count samples from a shared α = 2 Dirichlet): the sampling-induced JS tracks the chi-square prediction (d − 1)/(4N ln 2) (empirical/theoretical = 1.00-1.10), so dimension invariance breaks when count depth N is not large relative to d—mean JS reaches 0.20 at N = 10⁴ and d = 5,000, and 0.019 at N = 10⁵ and d = 5,000, but stays ≤ 0.002 at N ≥ 10⁶ even at d = 5,000. CKI operates on pseudobulk aggregates whose effective count depth is large, and the same-panel permutation null absorbs any residual sampling bias; the invariance claim is therefore scoped to population-level proportions at adequate count depth, and we do not claim it for arbitrary sampling models or sparse single-cell count vectors.</w:t>
      </w:r>
    </w:p>
    <w:p>
      <w:pPr>
        <w:pStyle w:val="Heading2"/>
      </w:pPr>
      <w:r>
        <w:t>Supplementary Note 17: Lineage-Distance Validation across Atlases</w:t>
      </w:r>
    </w:p>
    <w:p>
      <w:r>
        <w:rPr>
          <w:rFonts w:ascii="Arial" w:hAnsi="Arial"/>
          <w:b w:val="0"/>
          <w:color w:val="000000"/>
          <w:sz w:val="22"/>
        </w:rPr>
        <w:t>To test whether k_f carries lineage information beyond the organ baseline, we mapped every Tabula Sapiens cell type to Cell Ontology (CL) identifiers (releases/2026-06-08) and computed pairwise lineage distance as the shortest-path length over the CL ancestor graph. Across 1,054 same-organ cross-cell-type pairs spanning 6 organs, k_f increased systematically with lineage distance (Spearman ρ = 0.227, P = 9.5 × 10⁻¹⁴; organ-stratified permutation, 10,000 draws, P = 1.0 × 10⁻⁴), rising from a median of 0.127 at distance 1–2 to 0.271 at distance ≥9 (2.1-fold monotone ladder; Supplementary Figs. 15a, 16a). Same-cell-type cross-organ pairs at distance 0 anchored the ladder at a much lower median k_f of 0.106 (n = 69). Critically, k_n showed no lineage gradient (ρ = 0.052, P = 0.092), confirming that the organ baseline is distance-independent; the partial correlation of ω with distance given k_n was ρ = 0.265 (P = 1.9 × 10⁻¹⁸). (Supplementary Table 20.)</w:t>
      </w:r>
    </w:p>
    <w:p>
      <w:r>
        <w:rPr>
          <w:rFonts w:ascii="Arial" w:hAnsi="Arial"/>
          <w:b w:val="0"/>
          <w:color w:val="000000"/>
          <w:sz w:val="22"/>
        </w:rPr>
        <w:t>We then replicated the design in an independent brain atlas with a fundamentally different pairing structure: 888,263 non-neuronal nuclei from Siletti et al., yielding 1,537 same-region cross-cell-type pairs scored on a fixed 5,000-gene non-HK panel (k_f_fixed). Despite the coarser panel and the absence of any organ contrast, k_f_fixed again increased with lineage distance (ρ = 0.181, P = 9.9 × 10⁻¹³; region-stratified permutation, 10,000 draws, P = 1.0 × 10⁻⁴), although the increase was not monotone across coarse distance bins (Supplementary Fig. 15b). The oligodendrocyte lineage chain provided a directed within-lineage test: median k_f_fixed rose from 0.063 (OPC–COP) to 0.075 (COP–oligodendrocyte) to 0.130 (OPC–oligodendrocyte; 2.06-fold), and the chain ordering held in 52 of 52 shared brain regions (paired Wilcoxon P = 1.8 × 10⁻¹⁰; Supplementary Fig. 15c). Distance-0 anchors (same cell type across regions, n = 31,764 pairs) sat far below the closest cross-lineage pair (median 0.006–0.033 versus 0.063 for OPC–COP; Supplementary Fig. 16c), and a germ-layer prediction was confirmed: microglia (mesoderm) were more distant from macroglia (ectoderm) than macroglia were from each other (median k_f_fixed 0.163 versus 0.123; Mann–Whitney P = 4.5 × 10⁻¹⁴⁶; Supplementary Fig. 16b). (Supplementary Table 21.)</w:t>
      </w:r>
    </w:p>
    <w:p>
      <w:r>
        <w:rPr>
          <w:rFonts w:ascii="Arial" w:hAnsi="Arial"/>
          <w:b w:val="0"/>
          <w:color w:val="000000"/>
          <w:sz w:val="22"/>
        </w:rPr>
        <w:t>The two atlases also delineate the portability boundary of k_n. In the brain design, k_n correlated positively with lineage distance (ρ = 0.300, P = 2.1 × 10⁻³³), reversing its null behaviour in Tabula Sapiens, so that ω decreased with distance (ρ = −0.134) and carried no independent signal after partialling out k_n (ρ = −0.009, P = 0.74). Together with the main-text denominator guidance, these results identify k_f, rather than ω, as the only lineage signal that is portable across pairing designs: k_n tracks whatever baseline variation a given design happens to fix (organ identity in Tabula Sapiens; region identity in the brain atlas), and only k_f responds to lineage distance in both. (Supplementary Figs. 15, 16; Supplementary Tables 20, 21.)</w:t>
      </w:r>
    </w:p>
    <w:p>
      <w:r>
        <w:br w:type="page"/>
      </w:r>
    </w:p>
    <w:p>
      <w:pPr>
        <w:pStyle w:val="Heading2"/>
      </w:pPr>
      <w:r>
        <w:t>Supplementary Note 18: Neuronal Superclass Regional Divergence and Block-Shuffle Control</w:t>
      </w:r>
    </w:p>
    <w:p>
      <w:r>
        <w:rPr>
          <w:rFonts w:ascii="Arial" w:hAnsi="Arial"/>
          <w:b w:val="0"/>
          <w:color w:val="000000"/>
          <w:sz w:val="22"/>
        </w:rPr>
        <w:t>The main-text brain analysis is restricted to non-neuronal classes because the Siletti supercluster_term annotation does not resolve neuronal subtypes below the superclass tier. To test whether that restriction understates atlas-wide regional divergence, we analysed three well-sampled neuronal superclasses from per-superclass slices of the same collection (MGE interneurons, 222,434 nuclei; thalamic excitatory neurons, 85,546; upper-layer intratelencephalic neurons, 455,006) with the identical pipeline: per-file HRT Atlas HK genes (1,115 matched) plus the 5,000 highest-mean non-HK genes, regions retained at ≥ 50 nuclei of the superclass, norm-10,000 log1p region pseudobulks, k_n on HK genes and per-pair top-200 k_f. Observed mean ω was 69.32 (MGE interneurons; 1,770 pairs across 60 regions), 67.91 (thalamic excitatory; 190 pairs, 20 regions), and 63.48 (upper-layer intratelencephalic; 1,035 pairs, 46 regions), against a non-neuronal grand mean of 38.55.</w:t>
      </w:r>
    </w:p>
    <w:p>
      <w:r>
        <w:rPr>
          <w:rFonts w:ascii="Arial" w:hAnsi="Arial"/>
          <w:b w:val="0"/>
          <w:color w:val="000000"/>
          <w:sz w:val="22"/>
        </w:rPr>
        <w:t>The sample-level block-shuffle null of the main analysis (sample_id-to-region permutation preserving the per-region library-count multiset; B = 1,000; seed 42) was applied to each superclass. Regional structure significantly elevated mean ω for MGE interneurons (observed 69.32 versus null 52.39 ± 2.35; P = 0.001, the permutation floor; SES = 7.2) and for upper-layer intratelencephalic neurons (63.48 versus 55.62 ± 3.24; P = 0.014; SES = 2.4); thalamic excitatory neurons did not individually exceed their null (67.91 versus 62.46 ± 5.63; P = 0.163), mirroring the non-neuronal landscape where 4 of 10 classes reject and 6 do not (Results).</w:t>
      </w:r>
    </w:p>
    <w:p>
      <w:r>
        <w:rPr>
          <w:rFonts w:ascii="Arial" w:hAnsi="Arial"/>
          <w:b w:val="0"/>
          <w:color w:val="000000"/>
          <w:sz w:val="22"/>
        </w:rPr>
        <w:t>The cross-class contrast is decisive at the pair level. Neuronal pairs (n = 2,995; median ω 62.17) exceed the full non-neuronal landscape (n = 31,764; median 28.68; 24.50 excluding astrocytes): one-sided Mann–Whitney z = 52.6, P ≈ 10⁻⁶⁰² (normal approximation), rank-biserial 0.58, P(neuronal &gt; non-neuronal) = 0.79, and every superclass is individually significant (weakest, thalamic excitatory: P = 8.5 × 10⁻³⁷). Astrocytes are the sole non-neuronal exception (median 73.37, above the neuronal median; P = 0.41 for neuronal &gt; astrocytic) and themselves exceed the remaining nine non-neuronal classes (z = 94.1, P ≈ 10⁻¹⁹²⁶), consistent with their known regional specialization (Results). At the subcluster tier the same pipeline yields 48,450 pairs (median ω 21.22) dominated by region-restricted subclusters with few pairs, so superclass-level values are the appropriate tier for cross-class comparison. The non-neuronal screen therefore understates atlas-wide regional divergence: neuronal superclasses—like astrocytes—carry substantially higher cross-region divergence than the remaining non-neuronal classes. (Fig. 7; Supplementary Fig. 17; Supplementary Table 22.)</w:t>
      </w:r>
    </w:p>
    <w:p>
      <w:r>
        <w:br w:type="page"/>
      </w:r>
    </w:p>
    <w:p>
      <w:pPr>
        <w:pStyle w:val="Heading2"/>
      </w:pPr>
      <w:r>
        <w:t>Supplementary Note 19: Program-Level Diffuseness and a Disease-Anchor Positive Control</w:t>
      </w:r>
    </w:p>
    <w:p>
      <w:r>
        <w:rPr>
          <w:rFonts w:ascii="Arial" w:hAnsi="Arial"/>
          <w:b w:val="0"/>
          <w:color w:val="000000"/>
          <w:sz w:val="22"/>
        </w:rPr>
        <w:t>To ask whether the non-neuronal regional signal concentrates in specific functional programs, we recomputed the landscape with k_f restricted to MSigDB Hallmark gene sets (∩ non-HK; 40 programs with ≥ 20 genes) for the 10 non-neuronal classes, against a size-bucketed random-gene-set null (2,000 draws per size bucket; Benjamini–Hochberg across all 400 tests). No test survived correction (minimum q = 0.233): regional drift is diffuse rather than program-specific. The only sub-threshold concentration is peroxisomal–lipid metabolism: all 11 tests with empirical P ≤ 0.01 (4.0 expected under the global null) are the Peroxisome or Bile Acid Metabolism programs, spanning 7 of 10 classes and strongest in Bergmann glia and microglia (mean ω 11.4–17.7 versus null means 1.5–2.5). We read this as hypothesis-generating metabolic structure, not detection. Raw data: results/brain_hallmark_program_omega.csv.</w:t>
      </w:r>
    </w:p>
    <w:p>
      <w:r>
        <w:rPr>
          <w:rFonts w:ascii="Arial" w:hAnsi="Arial"/>
          <w:b w:val="0"/>
          <w:color w:val="000000"/>
          <w:sz w:val="22"/>
        </w:rPr>
        <w:t>As an external disease anchor we applied a donor-level design to SEA-AD (CELLxGENE collection 1ca90a2d; middle temporal gyrus; microglia-PVM and astrocyte slices): pseudobulks per donor, ADNC ‘High’ (42 donors) versus ‘Not AD’/‘Reference’ controls (donors with ≥ 50 nuclei), testing pre-registered gene sets—the Keren-Shaul disease-associated-microglia (DAM) core set (18 genes), Liddelow-2017 pan-reactive/A1/A2 astrocyte sets, and the Krasemann homeostatic-microglia set—with the pre-registered genes merged into the reduced panel and excluded from the null sampling pool (under the standard HVG panel only 12 of 18 DAM genes map; LPL, CST7, CSF1, CCL2, CD9 and LYZ rank below the top-5,000 HVGs). The pan-reactive-astrocyte set was elevated in astrocytes (ω 6.87 versus null 2.40 ± 1.39; P = 0.0145) and the DAM core set in astrocytes (ω 4.49; P = 0.041), with a directional but non-significant elevation in microglia (ω 4.39 versus null 2.58; P = 0.073); the negative controls behaved cleanly—the homeostatic-microglia set in astrocytes sat far below the null (ω 0.74; P = 0.996) and the A2-astrocyte set in microglia at the floor (ω 0.04; P = 1.0). Benjamini–Hochberg across the 10 tests left nothing significant (minimum q = 0.145), so the anchor provides directional, sub-threshold evidence that the pipeline responds to known Alzheimer’s biology, not detection. (Supplementary Fig. 18; Supplementary Table 23.)</w:t>
      </w:r>
    </w:p>
    <w:p>
      <w:r>
        <w:br w:type="page"/>
      </w:r>
    </w:p>
    <w:p>
      <w:pPr>
        <w:pStyle w:val="Heading2"/>
      </w:pPr>
      <w:r>
        <w:t>Supplementary Methods</w:t>
      </w:r>
    </w:p>
    <w:p>
      <w:r>
        <w:rPr>
          <w:rFonts w:ascii="Arial" w:hAnsi="Arial"/>
          <w:b w:val="0"/>
          <w:color w:val="000000"/>
          <w:sz w:val="22"/>
        </w:rPr>
        <w:t>Sections 5.1–5.14 collect, verbatim, the full procedural detail compressed out of the main-text Methods in v51. All parameter values, scripts, and output files are preserved; subsection numbering follows the main-text Methods order.</w:t>
      </w:r>
    </w:p>
    <w:p>
      <w:r>
        <w:rPr>
          <w:rFonts w:ascii="Arial" w:hAnsi="Arial"/>
          <w:b/>
          <w:color w:val="000000"/>
          <w:sz w:val="22"/>
        </w:rPr>
        <w:t>5.1 CKI computation</w:t>
      </w:r>
    </w:p>
    <w:p>
      <w:r>
        <w:rPr>
          <w:rFonts w:ascii="Arial" w:hAnsi="Arial"/>
          <w:b w:val="0"/>
          <w:color w:val="000000"/>
          <w:sz w:val="22"/>
        </w:rPr>
        <w:t>We normalize raw count matrices to 10,000 counts per cell and apply log1p transformation [42].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r>
        <w:rPr>
          <w:rFonts w:ascii="Arial" w:hAnsi="Arial"/>
          <w:b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 package default from v0.5.x is the brain order, softmax(log1p(mean counts)), which matches the count-space formula exactly; the reverse order is retained only as a legacy option for reproducing the mouse and human pilots. Calibration constants are pipeline-internal and must not be transferred across pipelines: an ω calibrated under one aggregation order is not comparable to an ω computed under the other. A same-data quantification on the mouse pilot’s 15 comparisons (recomputing ω under both orders on identical cells) confirms the warning: the rank ordering is largely preserved (Spearman ρ = 0.78), but absolute values shift (median fold 0.96, up to 9.8-fold per comparison), and the split-control median baseline itself moves from 6.46 to 10.94 (results/nc49_agg_order_sensitivity.csv). Then k_n = JS(norm(ε_A[H]), norm(ε_B[H])), where H is the set of HK gene indices; k_f = JS(norm(ε_A[I]), norm(ε_B[I])), where I is the set of top-2,000 highly variable genes (HVGs; Seurat flavor) excluding HK genes; ω = k_f/k_n, with JS divergence [43]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r>
        <w:rPr>
          <w:rFonts w:ascii="Arial" w:hAnsi="Arial"/>
          <w:b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0.5.4.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r>
        <w:rPr>
          <w:rFonts w:ascii="Arial" w:hAnsi="Arial"/>
          <w:b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r>
        <w:rPr>
          <w:rFonts w:ascii="Arial" w:hAnsi="Arial"/>
          <w:b/>
          <w:color w:val="000000"/>
          <w:sz w:val="22"/>
        </w:rPr>
        <w:t>5.2 Permutation testing</w:t>
      </w:r>
    </w:p>
    <w:p>
      <w:r>
        <w:rPr>
          <w:rFonts w:ascii="Arial" w:hAnsi="Arial"/>
          <w:b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These P &gt; 0.9 values coexist with cluster-bootstrap CIs that exclude 1 in four of five cancer types, and the two are not contradictory: the permutation null tests exchangeability of tumor and normal labels at the aggregate level under a fixed identity panel—a test with essentially no power here, because aggregate k_n sits at the denominator floor in 3 of 5 cancer types—whereas the bootstrap CIs quantify the sampling uncertainty of the within-cancer NN/TT pairing structure. The aggregate-level permutation test is accordingly uninformative for the reversal claim, which rests on the pair-level cluster bootstrap.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[44] is applied within each dataset; larger-scale analyses are supplemented with non-parametric tests and descriptive statistics.</w:t>
      </w:r>
    </w:p>
    <w:p>
      <w:r>
        <w:rPr>
          <w:rFonts w:ascii="Arial" w:hAnsi="Arial"/>
          <w:b/>
          <w:color w:val="000000"/>
          <w:sz w:val="22"/>
        </w:rPr>
        <w:t>5.3 Datasets: Tabula Muris, Tabula Sapiens, TCGA</w:t>
      </w:r>
    </w:p>
    <w:p>
      <w:r>
        <w:rPr>
          <w:rFonts w:ascii="Arial" w:hAnsi="Arial"/>
          <w:b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[45] with flavor="seurat" [46,47] and n_top_genes=2,000.</w:t>
      </w:r>
    </w:p>
    <w:p>
      <w:r>
        <w:rPr>
          <w:rFonts w:ascii="Arial" w:hAnsi="Arial"/>
          <w:b w:val="0"/>
          <w:color w:val="000000"/>
          <w:sz w:val="22"/>
        </w:rPr>
        <w:t>Tabula Sapiens v1.0 [9]: accessed via CZ CELLxGENE Discover [48].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r>
        <w:rPr>
          <w:rFonts w:ascii="Arial" w:hAnsi="Arial"/>
          <w:b w:val="0"/>
          <w:color w:val="000000"/>
          <w:sz w:val="22"/>
        </w:rPr>
        <w:t>TCGA bulk RNA-seq [49]: five cancer types from NCI Genomic Data Commons, accessed via TCGAbiolinks [50] and cBioPortal [51] APIs. LUAD: 493 tumor + 76 normal; LUSC: 534 tumor + 58 normal; LIHC: 398 tumor + 57 normal; KIRC: 750 tumor + 82 normal; BRCA: 1010 tumor + 109 normal (3,535 samples entering the pair-level analysis under the ex-CC default: of the 3,596 expression-matrix samples, 3 do not appear in the assembled pair table, 26 further samples appear only in tumor–normal pairs and never enter the tumor–tumor or normal–normal comparisons, and the 32 cell-line-derived aliquots identified by the barcode audit below are excluded from all v52 analyses; the pair table itself spans 3,593 unique barcodes, the denominator of the barcode audit in Methods). TPM values from UCSC Xena; within each cancer type, genes with mean expression below 0.5 TPM were removed, and the retained values were log2(TPM + 1) transformed. BRCA PAM50 subtype assignments [52,53] were retrieved from cBioPortal (brca_tcga_pub study, PAM50_SUBTYPE clinical attribute; 522 samples with subtype calls). LIHC Edmondson grade [54]: from cBioPortal, 372 patients with grade calls in the cached pull (289 ex-CC tumors with pair coverage entered the analysis). LUAD mutations: from cBioPortal, 492 samples (61 EGFR, 120 KRAS, 311 WT). Sample provenance followed the TCGA barcode sample-source code (positions 14–15): the 32 cell-line-derived LIHC samples (source code CC, ILSBio liver cancer lines) shipped in the LUSC matrix were assigned to LIHC following a barcode audit and are excluded from all reported analyses (the ex-CC default); the pre-exclusion outputs are archived under results/superseded/.</w:t>
      </w:r>
    </w:p>
    <w:p>
      <w:r>
        <w:rPr>
          <w:rFonts w:ascii="Arial" w:hAnsi="Arial"/>
          <w:b/>
          <w:color w:val="000000"/>
          <w:sz w:val="22"/>
        </w:rPr>
        <w:t>5.4 Dataset: human brain atlas</w:t>
      </w:r>
    </w:p>
    <w:p>
      <w:r>
        <w:rPr>
          <w:rFonts w:ascii="Arial" w:hAnsi="Arial"/>
          <w:b w:val="0"/>
          <w:color w:val="000000"/>
          <w:sz w:val="22"/>
        </w:rPr>
        <w:t>Human brain atlas [12]: Siletti et al. (2023) single-nucleus RNA-seq (v3.11) from CZ CELLxGENE Discover 48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r>
        <w:rPr>
          <w:rFonts w:ascii="Arial" w:hAnsi="Arial"/>
          <w:b/>
          <w:color w:val="000000"/>
          <w:sz w:val="22"/>
        </w:rPr>
        <w:t>5.5 Method comparison</w:t>
      </w:r>
    </w:p>
    <w:p>
      <w:r>
        <w:rPr>
          <w:rFonts w:ascii="Arial" w:hAnsi="Arial"/>
          <w:b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were computed using scikit-learn. The four correlations of ω with the standard metrics carry entry-clustered bootstrap 95% CIs (the 99 pseudobulk entries resampled with replacement, each pair weighted by the product of its endpoint multiplicities; B = 5,000, seed 42; scripts/nc52_stats_resampling.py; results/nc52_stats_tabula_entrycluster.csv): ω versus raw JS −0.40 [−0.54, −0.23], versus Spearman distance −0.46 [−0.58, −0.34], versus cosine distance −0.39 [−0.52, −0.23], and versus marker Jaccard distance −0.36 [−0.51, −0.19] — all excluding 0; these cluster-aware intervals replace the independence-assuming P-values of earlier versions (the P &lt; 10⁻¹⁴⁵ caliber is retired). The component decomposition (results/reviewer_decomposition_correlations.csv): k_f correlated positively with the standard metrics (r = +0.43 to +0.72), k_n more strongly (r = +0.69 to +0.81), and conditional on k_n all four ω correlations turned positive (partial r = +0.11 to +0.54, entry-clustered CIs excluding 0).</w:t>
      </w:r>
    </w:p>
    <w:p>
      <w:r>
        <w:rPr>
          <w:rFonts w:ascii="Arial" w:hAnsi="Arial"/>
          <w:b/>
          <w:color w:val="000000"/>
          <w:sz w:val="22"/>
        </w:rPr>
        <w:t>5.6 Multiplicative residual model (brain)</w:t>
      </w:r>
    </w:p>
    <w:p>
      <w:r>
        <w:rPr>
          <w:rFonts w:ascii="Arial" w:hAnsi="Arial"/>
          <w:b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r>
        <w:rPr>
          <w:rFonts w:ascii="Arial" w:hAnsi="Arial"/>
          <w:b/>
          <w:color w:val="000000"/>
          <w:sz w:val="22"/>
        </w:rPr>
        <w:t>5.7 Brain robustness analyses and donor-stratified null</w:t>
      </w:r>
    </w:p>
    <w:p>
      <w:r>
        <w:rPr>
          <w:rFonts w:ascii="Arial" w:hAnsi="Arial"/>
          <w:b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 Donor-level uncertainty (v52): for the equal-n, span-matched, and combined span- and size-matched gradients, a donor cluster bootstrap (B = 1,000, seed 42; the four donors resampled with replacement, the full pipeline including cell-level downsampling recomputed per resample; percentile 95% CI) and leave-one-donor-out replicates were computed (script notebooks/nc52_brain_donor_bootstrap.py). RNA-quality proxies (v52): per-pair (class, library)-level and (class, region)-level OLS of log10(k_n/k_f/ω) on mean detected genes, mean total UMI, and mitochondrial fraction (scripts notebooks/nc52_brain_quality_regression.py, notebooks/nc52_brain_quality_mito.py).</w:t>
      </w:r>
    </w:p>
    <w:p>
      <w:r>
        <w:rPr>
          <w:rFonts w:ascii="Arial" w:hAnsi="Arial"/>
          <w:b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r>
        <w:rPr>
          <w:rFonts w:ascii="Arial" w:hAnsi="Arial"/>
          <w:b/>
          <w:color w:val="000000"/>
          <w:sz w:val="22"/>
        </w:rPr>
        <w:t>5.8 Ground-truth simulation</w:t>
      </w:r>
    </w:p>
    <w:p>
      <w:r>
        <w:rPr>
          <w:rFonts w:ascii="Arial" w:hAnsi="Arial"/>
          <w:b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r>
        <w:rPr>
          <w:rFonts w:ascii="Arial" w:hAnsi="Arial"/>
          <w:b/>
          <w:color w:val="000000"/>
          <w:sz w:val="22"/>
        </w:rPr>
        <w:t>5.9 Real perturbation demonstration (IFN-β PBMC)</w:t>
      </w:r>
    </w:p>
    <w:p>
      <w:r>
        <w:rPr>
          <w:rFonts w:ascii="Arial" w:hAnsi="Arial"/>
          <w:b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8):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r>
        <w:rPr>
          <w:rFonts w:ascii="Arial" w:hAnsi="Arial"/>
          <w:b/>
          <w:color w:val="000000"/>
          <w:sz w:val="22"/>
        </w:rPr>
        <w:t>5.10 Neutral-drift calibration on technical replicates</w:t>
      </w:r>
    </w:p>
    <w:p>
      <w:r>
        <w:rPr>
          <w:rFonts w:ascii="Arial" w:hAnsi="Arial"/>
          <w:b w:val="0"/>
          <w:color w:val="000000"/>
          <w:sz w:val="22"/>
        </w:rPr>
        <w:t>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[14]: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[13]), k_f, ω, raw JS, and cosine distance. Brain drift ladder [12]: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r>
        <w:rPr>
          <w:rFonts w:ascii="Arial" w:hAnsi="Arial"/>
          <w:b/>
          <w:color w:val="000000"/>
          <w:sz w:val="22"/>
        </w:rPr>
        <w:t>5.11 Fixed gene-panel ablation</w:t>
      </w:r>
    </w:p>
    <w:p>
      <w:r>
        <w:rPr>
          <w:rFonts w:ascii="Arial" w:hAnsi="Arial"/>
          <w:b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9 and the results/fixed_panel_ablation_* files of the companion repository.</w:t>
      </w:r>
    </w:p>
    <w:p>
      <w:r>
        <w:rPr>
          <w:rFonts w:ascii="Arial" w:hAnsi="Arial"/>
          <w:b/>
          <w:color w:val="000000"/>
          <w:sz w:val="22"/>
        </w:rPr>
        <w:t>5.12 TCGA per-sample statistics and clinical severity analyses</w:t>
      </w:r>
    </w:p>
    <w:p>
      <w:r>
        <w:rPr>
          <w:rFonts w:ascii="Arial" w:hAnsi="Arial"/>
          <w:b w:val="0"/>
          <w:color w:val="000000"/>
          <w:sz w:val="22"/>
        </w:rPr>
        <w:t>Per-tumor statistics were derived from the linear-normalization pair table under the ex-CC default (34,828 pairs: the 478 pairs touching the 32 cell-line-derived aliquots dropped from the 35,306-pair table of 2,000 TT pairs per cancer type drawn by seeded subsampling (1,709 for LIHC after the exclusion),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95% CIs are the 2.5th and 97.5th percentiles of the resampled ratios.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adjusted LUAD contrasts were verified by whole-tumor label-permutation tests that re-fit the full OLS adjustment model at every permutation (B = 10,000, seed 42): the KRAS contrasts remain significant (P ≤ 0.001) and the EGFR–WT contrast does not (P ≥ 0.28), matching the parametric conclusions (notebooks/nc52_tcga_luad_adjmodel_permutation.py, results/nc52_tcga_luad_adjmodel_permutation.csv). The LIHC survival analysis used Cox proportional-hazards regression (R survival::coxph) on the ex-CC default cohort (n = 272 tumors with complete covariates, 79 events) with per-tumor ω standardized to unit SD (hazard ratios per SD), AJCC stage entered as a categorical factor, plus Edmondson grade (G1–G4, ordinal), age, and sex, with listwise deletion of missing covariates; k_f-only, k_n-only, and tumor–normal-ω exposures were run as sensitivity models, and proportional hazards were checked with cox.zph (M2 GLOBAL P = 0.023, reported alongside the estimates). Scripts: notebooks/nc52_tcga_excc_main.py (seed 42), notebooks/nc52_lihc_cox_excc.py, notebooks/nc49_tcga_purity.py, notebooks/nc49_tcga_luad_smoking.py; outputs: results/nc52_tcga_pancancer_excc.csv, results/nc52_tcga_excc_severity.csv, results/nc49_tcga_luad_mutation.csv, results/nc52_lihc_cox_excc.csv, results/nc49_tcga_purity.csv, results/nc49_tcga_admix_scores.csv, results/nc49_tcga_luad_smoking.csv.</w:t>
      </w:r>
    </w:p>
    <w:p>
      <w:r>
        <w:rPr>
          <w:rFonts w:ascii="Arial" w:hAnsi="Arial"/>
          <w:b w:val="0"/>
          <w:color w:val="000000"/>
          <w:sz w:val="22"/>
        </w:rPr>
        <w:t>In supplementary within-cancer-type stratification analyses, we computed intratumoral ω for samples within each clinical stratum using the hybrid scheme. BRCA PAM50 subtype calls [52,53]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[54] came from cBioPortal (372 patients with calls in the cached pull; 289 ex-CC tumors with pair coverage entered the analysis),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5).</w:t>
      </w:r>
    </w:p>
    <w:p>
      <w:r>
        <w:rPr>
          <w:rFonts w:ascii="Arial" w:hAnsi="Arial"/>
          <w:b/>
          <w:color w:val="000000"/>
          <w:sz w:val="22"/>
        </w:rPr>
        <w:t>5.13 Computational environment</w:t>
      </w:r>
    </w:p>
    <w:p>
      <w:r>
        <w:rPr>
          <w:rFonts w:ascii="Arial" w:hAnsi="Arial"/>
          <w:b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[45], scipy ≥ 1.10.0, numpy ≥ 1.23.0, pandas ≥ 1.5.0, matplotlib ≥ 3.6.0, seaborn [55] ≥ 0.12.0, and scikit-learn [56] ≥ 1.2.0; random seeds were fixed at 42 throughout, except scripts 77/78/79, which used seed 20260903, and the small-cluster studentized bootstrap-t analysis (notebooks/89_cluster_boot_v45.py), which used seed 20260905. Permutation results are stable with respect to seed choice: with B = 1,000 permutations the Monte Carlo standard error of the empirical P-value is approximately 0.016 at P = 0.5, so seed variation has negligible impact on statistical conclusions.</w:t>
      </w:r>
    </w:p>
    <w:p>
      <w:r>
        <w:rPr>
          <w:rFonts w:ascii="Arial" w:hAnsi="Arial"/>
          <w:b/>
          <w:color w:val="000000"/>
          <w:sz w:val="22"/>
        </w:rPr>
        <w:t>5.14 Statistical inference details</w:t>
      </w:r>
    </w:p>
    <w:p>
      <w:r>
        <w:rPr>
          <w:rFonts w:ascii="Arial" w:hAnsi="Arial"/>
          <w:b w:val="0"/>
          <w:color w:val="000000"/>
          <w:sz w:val="22"/>
        </w:rPr>
        <w:t>We report summary statistics as mean ± s.d. (range) or median [IQR] as noted. Resampling-based inference [57]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[44]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r>
        <w:rPr>
          <w:rFonts w:ascii="Arial" w:hAnsi="Arial"/>
          <w:b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studentized (bootstrap-t) region-clustered intervals pivot the statistic by an influence-function (multiplier) sandwich standard error of the multiplicity-weighted pair mean re-evaluated within each resample, with ratios studentized on the log scale via the delta method (B = 5,000, seed 20260905; Monte Carlo coverage 0.953/0.951 at 6–7 clusters; notebooks/89_cluster_boot_v45.py).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(two-stage bootstrap over the six populations, B = 5,000, seed 42: 95% CI [6.38, 9.82]; the 300-value intervals [7.37, 8.02]/[7.38, 8.02] treat nested splits as independent and are anti-conservative;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r>
        <w:rPr>
          <w:rFonts w:ascii="Arial" w:hAnsi="Arial"/>
          <w:b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stratified resample counts reported per analysis (B = 1,000 for the composition cluster bootstrap, 1,000 for TCGA ratio CIs, 2,000 for region-clustered brain intervals, 5,000 for the joint and studentized small-cluster analyses, and 10,000 for simple resampling of pair-level point estimates), with the Monte Carlo error of each interval reported alongside it in the Supplementary Information. All analyses use JS divergence with base-2 logarithm. Sample sizes (n) are reported for each comparison.</w:t>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 Table content: CKI_Supplementary_Tables_NC.xlsx (sheet Table 1).</w:t>
      </w:r>
    </w:p>
    <w:p>
      <w:r>
        <w:rPr>
          <w:rFonts w:ascii="Arial" w:hAnsi="Arial"/>
          <w:b w:val="0"/>
          <w:color w:val="000000"/>
          <w:sz w:val="22"/>
        </w:rPr>
      </w:r>
    </w:p>
    <w:p>
      <w:pPr>
        <w:pStyle w:val="Heading2"/>
      </w:pPr>
      <w:r>
        <w:t>Supplementary Table 4: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 Table content: CKI_Supplementary_Tables_NC.xlsx (sheet Table 4).</w:t>
      </w:r>
    </w:p>
    <w:p>
      <w:r>
        <w:rPr>
          <w:rFonts w:ascii="Arial" w:hAnsi="Arial"/>
          <w:b w:val="0"/>
          <w:color w:val="000000"/>
          <w:sz w:val="22"/>
        </w:rPr>
      </w:r>
    </w:p>
    <w:p>
      <w:pPr>
        <w:pStyle w:val="Heading2"/>
      </w:pPr>
      <w:r>
        <w:t>Supplementary Table 5: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all SDs are sample SDs with ddof = 1) are provided in Supplementary Table 5.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 Table content (per-cell-type summary): CKI_Supplementary_Tables_NC.xlsx (sheet Table 5).</w:t>
      </w:r>
    </w:p>
    <w:p>
      <w:r>
        <w:rPr>
          <w:rFonts w:ascii="Arial" w:hAnsi="Arial"/>
          <w:b w:val="0"/>
          <w:color w:val="000000"/>
          <w:sz w:val="22"/>
        </w:rPr>
      </w:r>
    </w:p>
    <w:p>
      <w:pPr>
        <w:pStyle w:val="Heading2"/>
      </w:pPr>
      <w:r>
        <w:t>Supplementary Table 6: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5 and 6 share the same underlying data file (results/brain_bs_null_observed_pairs.csv): Supplementary Table 5 reports all 31,764 pairs with per-cell-type summary statistics, whereas Supplementary Table 6 retains the 6,591 threshold-passing rows with their tier, residual, and ω annotations. Table content: CKI_Supplementary_Tables_NC.xlsx (sheet Table 6).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notebooks/08d_brain_blockshuffle_null.py with notebooks/08e_brain_blockshuffle_results.py (brain regional CKI analysis and region-associated candidate detection under the block-shuffle null; supersedes the pre-fix 07c_brain_siletti_v3.py outputs archived in results/superseded/), notebooks/13_phase35_method_comparison.py (cross-organ method comparison), and notebooks/30_genome_biology_figures.py with notebooks/_fig1_clean.py to _fig6_clean.py (figure generation).</w:t>
      </w:r>
    </w:p>
    <w:p>
      <w:pPr>
        <w:pStyle w:val="Heading2"/>
      </w:pPr>
      <w:r>
        <w:t>Supplementary Figures</w:t>
      </w:r>
    </w:p>
    <w:p>
      <w:r>
        <w:rPr>
          <w:rFonts w:ascii="Arial" w:hAnsi="Arial"/>
          <w:b w:val="0"/>
          <w:color w:val="000000"/>
          <w:sz w:val="22"/>
        </w:rPr>
        <w:t>Legends for Supplementary Figs. 1-16. Figure files are provided separately (results/ figures listed in the Reproducibility Guide).</w:t>
      </w:r>
    </w:p>
    <w:p>
      <w:r>
        <w:rPr>
          <w:rFonts w:ascii="Arial" w:hAnsi="Arial"/>
          <w:b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r>
        <w:rPr>
          <w:rFonts w:ascii="Arial" w:hAnsi="Arial"/>
          <w:b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r>
        <w:rPr>
          <w:rFonts w:ascii="Arial" w:hAnsi="Arial"/>
          <w:b w:val="0"/>
          <w:color w:val="000000"/>
          <w:sz w:val="22"/>
        </w:rPr>
        <w:t>Supplementary Fig. 3. Human-brain sanity check on the microglia supercluster (Supplementary Note 7). (a) UMAP embedding of the CELLxGENE Microglia supercluster (Human Brain Cell Atlas v1.0; 91,838 nuclei; precomputed embedding), coloured by cell type: microglial cell (88,494 nuclei) versus CNS macrophage (CNS-Mφ; 3,344). (b) CKI ω for the functional contrast (35 sample-matched microglia-versus-CNS-Mφ pairs) versus neutral half-splits (20 per cell type): ω = 21.83 ± 7.20 (functional) versus ω = 1.30 ± 0.36 (neutral); Mann-Whitney P = 5.5 × 10⁻¹⁴. (c) Per-metric exact rank AUC for the same contrast: the margin is carried by k_f (AUC = 1.00), whereas k_n is only partially elevated (AUC = 0.89); standard metrics also separate the classes (raw JS, cosine, marker Jaccard AUC = 1.00; Spearman 0.90), as expected for two genuinely distinct cell types. This analysis uses the global-HVG scheme, not the per-pair top-200 hybrid scheme, so absolute ω values sit on a different scale from the 7.70-calibrated hybrid baseline and are compared internally only.</w:t>
      </w:r>
    </w:p>
    <w:p>
      <w:r>
        <w:rPr>
          <w:rFonts w:ascii="Arial" w:hAnsi="Arial"/>
          <w:b w:val="0"/>
          <w:color w:val="000000"/>
          <w:sz w:val="22"/>
        </w:rPr>
        <w:t>Supplementary Fig. 4. Real perturbation demonstration (Kang et al. IFN-β-stimulated PBMCs). (a) Area under the ROC curve (AUC) for separating within-donor stim-versus-control pairs (perturbation) from cross-donor same-condition pairs (donor drift) per cell type, for ω (red), k_f alone (purple),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r>
        <w:rPr>
          <w:rFonts w:ascii="Arial" w:hAnsi="Arial"/>
          <w:b w:val="0"/>
          <w:color w:val="000000"/>
          <w:sz w:val="22"/>
        </w:rPr>
        <w:t>Supplementary Fig. 5.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r>
        <w:rPr>
          <w:rFonts w:ascii="Arial" w:hAnsi="Arial"/>
          <w:b w:val="0"/>
          <w:color w:val="000000"/>
          <w:sz w:val="22"/>
        </w:rPr>
        <w:t>Supplementary Fig. 6. Cross-organ conservation raw data. Blue = well-sampled (n ≥ 5 pairs); gray = sparsely sampled (n &lt; 5 pairs). panel a shows mean ± SD; panel b shows raw pair-level distribution.</w:t>
      </w:r>
    </w:p>
    <w:p>
      <w:r>
        <w:rPr>
          <w:rFonts w:ascii="Arial" w:hAnsi="Arial"/>
          <w:b w:val="0"/>
          <w:color w:val="000000"/>
          <w:sz w:val="22"/>
        </w:rPr>
        <w:t>Supplementary Fig. 7. Brain regional analysis details. (a) Mean regional divergence (ω, with SD) per cell type, ranked ascending; purple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r>
        <w:rPr>
          <w:rFonts w:ascii="Arial" w:hAnsi="Arial"/>
          <w:b w:val="0"/>
          <w:color w:val="000000"/>
          <w:sz w:val="22"/>
        </w:rPr>
        <w:t>Supplementary Fig. 8.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r>
        <w:rPr>
          <w:rFonts w:ascii="Arial" w:hAnsi="Arial"/>
          <w:b w:val="0"/>
          <w:color w:val="000000"/>
          <w:sz w:val="22"/>
        </w:rPr>
        <w:t>Supplementary Fig. 9.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r>
        <w:rPr>
          <w:rFonts w:ascii="Arial" w:hAnsi="Arial"/>
          <w:b w:val="0"/>
          <w:color w:val="000000"/>
          <w:sz w:val="22"/>
        </w:rPr>
        <w:t>Supplementary Fig. 10. Block-shuffle permutation null for the residual model. Distribution of multiplicative residuals under block-shuffle permutation of library-to-region assignments (B = 1,000), compared against observed residuals for Strong candidates.</w:t>
      </w:r>
    </w:p>
    <w:p>
      <w:r>
        <w:rPr>
          <w:rFonts w:ascii="Arial" w:hAnsi="Arial"/>
          <w:b w:val="0"/>
          <w:color w:val="000000"/>
          <w:sz w:val="22"/>
        </w:rPr>
        <w:t>Supplementary Fig. 11.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r>
        <w:rPr>
          <w:rFonts w:ascii="Arial" w:hAnsi="Arial"/>
          <w:b w:val="0"/>
          <w:color w:val="000000"/>
          <w:sz w:val="22"/>
        </w:rPr>
        <w:t>Supplementary Fig. 12. Cross-species comparison details. (a) Cross-species ω comparison: scatter plot of human vs. mouse per-cell-type mean ω for the 15 shared cell types (Spearman r = −0.17, P = 0.55; no significant correlation).</w:t>
      </w:r>
    </w:p>
    <w:p>
      <w:r>
        <w:rPr>
          <w:rFonts w:ascii="Arial" w:hAnsi="Arial"/>
          <w:b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r>
        <w:rPr>
          <w:rFonts w:ascii="Arial" w:hAnsi="Arial"/>
          <w:b w:val="0"/>
          <w:color w:val="000000"/>
          <w:sz w:val="22"/>
        </w:rPr>
        <w:t>Supplementary Fig. 14.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r>
        <w:rPr>
          <w:rFonts w:ascii="Arial" w:hAnsi="Arial"/>
          <w:b w:val="0"/>
          <w:color w:val="000000"/>
          <w:sz w:val="22"/>
        </w:rPr>
        <w:t>Supplementary Fig. 15. Lineage-distance validation of k_f across two independent atlases (Supplementary Note 17). (a) Tabula Sapiens same-organ cross-cell-type pairs (n = 1,054, 6 organs): median k_f by Cell Ontology lineage-distance bin rises monotonically from 0.127 (distance 1–2) to 0.271 (distance ≥9); the grey bar anchors same-cell-type cross-organ pairs at distance 0 (median 0.106, n = 69). Spearman ρ = 0.227, P = 9.5 × 10⁻¹⁴; organ-stratified permutation (10,000 draws) P = 1.0 × 10⁻⁴. Pair counts per bin are annotated inside the bars. (b) Siletti et al. brain atlas same-region cross-cell-type pairs (n = 1,537; k_f on a fixed 5,000-gene non-HK panel): median k_f_fixed by lineage-distance bin; the increase is significant (ρ = 0.181, P = 9.9 × 10⁻¹³; region-stratified permutation P = 1.0 × 10⁻⁴) but not monotone across coarse bins. (c) Oligodendrocyte lineage chain across 52 shared brain regions: per-region k_f_fixed for OPC–COP (distance 2), COP–oligodendrocyte (distance 5), and OPC–oligodendrocyte (distance 5); medians 0.063 / 0.075 / 0.130 (2.06-fold), with the ordering holding in 52 of 52 regions (paired Wilcoxon P = 1.8 × 10⁻¹⁰). Grey lines connect matched regions; the purple line connects medians.</w:t>
      </w:r>
    </w:p>
    <w:p>
      <w:r>
        <w:rPr>
          <w:rFonts w:ascii="Arial" w:hAnsi="Arial"/>
          <w:b w:val="0"/>
          <w:color w:val="000000"/>
          <w:sz w:val="22"/>
        </w:rPr>
        <w:t>Supplementary Fig. 16. k_n is design-dependent; k_f is the portable lineage signal (Supplementary Note 17). (a) Spearman correlation of each metric with Cell Ontology lineage distance in Tabula Sapiens (orange; same-organ cross-cell-type pairs) and the Siletti brain atlas (purple; same-region cross-cell-type pairs). k_f correlates positively in both atlases (ρ = 0.227 and 0.181; both permutation P = 1.0 × 10⁻⁴), whereas k_n is null in Tabula Sapiens (ρ = 0.052, P = 0.092) but reverses to strongly positive in the brain (ρ = 0.300, P = 2.1 × 10⁻³³), so ω inherits a negative brain gradient (ρ = −0.134) with no signal after partialling out k_n (ρ = −0.009, P = 0.74). ***, P &lt; 0.001; NS, not significant. (b) Germ-layer test in the brain atlas: microglia (mesoderm) are more divergent from macroglia (median k_f_fixed 0.163, n = 420 region pairs) than macroglia are from each other (0.123, n = 652); Mann–Whitney P = 4.5 × 10⁻¹⁴⁶. (c) Distance-0 anchors in the brain atlas: median k_f_fixed for same-cell-type cross-region pairs per cell type (n = 31,764 pairs; range 0.006–0.033), all far below the closest cross-lineage pair (OPC–COP, red dashed line at 0.063).</w:t>
      </w:r>
    </w:p>
    <w:p>
      <w:r>
        <w:rPr>
          <w:rFonts w:ascii="Arial" w:hAnsi="Arial"/>
          <w:b w:val="0"/>
          <w:color w:val="000000"/>
          <w:sz w:val="22"/>
        </w:rPr>
        <w:t>Supplementary Fig. 17. Pair-level distributions and the subcluster tier for the neuronal superclass analysis (Supplementary Note 18; main Fig. 7). (a) Pair-level ω ECDFs (log scale) for neuronal superclasses (purple; n = 2,995), non-neuronal classes excluding astrocytes (grey; n = 25,986), and astrocytes (red; n = 5,778); medians 62.2 / 24.5 / 73.4, with astrocytes the only non-neuronal class in the neuronal range. (b) Subcluster-tier pair ω per supercluster (grey boxes, log scale, 48,450 pairs total; boxes = IQR, whiskers = 1.5 × IQR, outliers suppressed) with the superclass-tier median overlaid (purple bars): subcluster medians 18.5–29.4 are pulled down by region-restricted subclusters with few pairs, so superclass-level values are the appropriate tier for cross-class comparison (Supplementary Note 18).</w:t>
      </w:r>
    </w:p>
    <w:p>
      <w:r>
        <w:rPr>
          <w:rFonts w:ascii="Arial" w:hAnsi="Arial"/>
          <w:b w:val="0"/>
          <w:color w:val="000000"/>
          <w:sz w:val="22"/>
        </w:rPr>
        <w:t>Supplementary Fig. 18. Program-level diffuseness and the SEA-AD disease-anchor positive control (Supplementary Note 19). (a) SEA-AD donor-level test (10 pre-registered gene-set × cell-class tests): bars give observed ω between ADNC-high and reference donors; the dark dash marks the null mean and the line its 95% range (2,000-draw size-matched null with pre-registered genes excluded from the sampling pool). Red = pan-reactive astrocyte set (P = 0.0145) and DAM core set (P = 0.041) in astrocytes; orange = negative controls (homeostatic-microglia set in astrocytes, ω 0.74, P = 0.996; A2 set in microglia, ω 0.04, P = 1.0); grey = remaining tests. Benjamini–Hochberg across the 10 tests: minimum q = 0.145. (b) Hallmark-program diffuseness: histogram of the 400 empirical P-values (10 non-neuronal classes × 40 programs; size-bucketed random-gene-set null, B = 2,000), with Peroxisome and Bile Acid Metabolism programs in purple. All 11 tests with P ≤ 0.01 (4.0 expected) are peroxisomal–lipid programs; none of the 400 survives Benjamini–Hochberg correction (minimum q = 0.233).</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