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 w:after="120" w:before="0"/>
      </w:pPr>
      <w:r>
        <w:t>Dear Editors,</w:t>
      </w:r>
    </w:p>
    <w:p>
      <w:pPr>
        <w:spacing w:line="252" w:lineRule="auto" w:after="80" w:before="0"/>
      </w:pPr>
      <w:r>
        <w:t>On behalf of my co-authors, Wenting Liu and Jian Zu (School of Mathematics and Statistics, Xi'an Jiaotong University), I submit our manuscript, “CKI: a Ka/Ks-inspired index decomposing functional divergence from baseline variation in cell atlases”, for consideration as an Article in Nature Communications. CKI (Cell-type Ka/Ks-inspired Index) is, to our knowledge, the first per-comparison, design-testable implementation of a principled separation of functional divergence from background drift: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52" w:lineRule="auto" w:after="80" w:before="0"/>
      </w:pPr>
      <w:r>
        <w:t>The manuscript rests on four pillars. First, in ground-truth simulation (1,750 replicates per background, two backgrounds), ω alone did not false-trigger on neutral housekeeping drift (false-positive rate 0.00 versus 0.55–0.58 for JS and cosine) and gave the best functional-versus-neutral discrimination at bounded power (AUC = 0.80). Second, in real-data drift calibration, ω raised no false reports on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and the shallowest drift-ladder gradient (1.04 → 1.76 → 1.80 versus 1.07 → 3.32 → 2.98 for raw JS). Third, across 3,535 TCGA samples in five cancer types, tumors appear consistently less divergent than adjacent non-tumor tissue—a pan-cancer reversal driven by an elevated housekeeping baseline rather than reduced functional divergence; and in lung adenocarcinoma the k_f/k_n decomposition separates KRAS-mutant tumors—retaining functional (k_f) and baseline (k_n) components after purity and smoking adjustment—from EGFR-mutant tumors, whose apparent association dissolved under purity adjustment. A GTEx healthy reference further shows adjacent-normal k_n at healthy-tissue levels in lung, liver, and breast, arguing against a field-effect reading. Fourth, in a human brain atlas spanning 108 regions (non-neuronal nuclei), CKI quantified a regional differentiation gradient, largely k_n-driven, and provides a statistically calibrated framework for atlas-scale hypothesis generation; neuronal-superclass divergence far exceeds the non-neuronal median (P &lt; 10⁻³⁰⁰).</w:t>
      </w:r>
    </w:p>
    <w:p>
      <w:pPr>
        <w:spacing w:line="252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domain—false divergence calls on real drift—it misreports least among continuous divergence metrics while retaining sensitivity (Fig. 2); in the ground-truth simulation it ranks first of six metrics at separating functional change from neutral drift (AUC = 0.80; Fig. 2d). And the pan-cancer divergence map, with the lung adenocarcinoma driver-class decomposition, grounds the method in cancer biology of broad interest (Fig. 3). The ratio is theory-backed: a scoped framework identifies ω − 1 with functional-to-background displacement energy; the HK denominator studentizes the null eightfold (Supplementary Note 20).</w:t>
      </w:r>
    </w:p>
    <w:p>
      <w:pPr>
        <w:spacing w:line="252" w:lineRule="auto" w:after="80" w:before="0"/>
      </w:pPr>
      <w:r>
        <w:t>We suggest the following reviewers, none with conflicts of interest: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52" w:lineRule="auto" w:after="80" w:before="0"/>
      </w:pPr>
      <w:r>
        <w:t>Thank you for considering our work.</w:t>
      </w:r>
    </w:p>
    <w:p>
      <w:pPr>
        <w:spacing w:line="252" w:lineRule="auto" w:after="240" w:before="0"/>
      </w:pPr>
      <w:r>
        <w:t>Sincerely,</w:t>
      </w:r>
    </w:p>
    <w:p>
      <w:pPr>
        <w:spacing w:line="252" w:lineRule="auto" w:after="0" w:before="0"/>
      </w:pPr>
      <w:r>
        <w:t>Li Zhang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