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SimHei" w:hAnsi="Arial"/>
          <w:b/>
          <w:bCs/>
          <w:color w:val="000000"/>
        </w:rPr>
        <w:t xml:space="preserve">CKI nc68：八个方法论问题逐条答复</w:t>
      </w:r>
    </w:p>
    <w:p>
      <w:pPr>
        <w:spacing w:after="20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状态：commit 9257603（远端 main 已核验一致）；验证链 build 233/233、XV8 64/64、pytest 29/29；MAIN 词额 4,998/5,000；投稿包 CKI_Submission_NC.zip 已重建。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50"/>
        <w:gridCol w:w="1650"/>
        <w:gridCol w:w="4526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修复位置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k_n 被进一步解释成可分离的“背景噪声量”？需要额外的噪声模型吗？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1.2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明确 k_n 是操作性基线读数（HK 面板 JS 观测值），不是参数化噪声模型的拟合参数，无需方差分解假设；“baseline noise” 仅为各类 HK 散度来源的统称。可交换性前提由 Note 6 非 HK 锚定漂移对照 + Note 3 split-half 校准直接检验。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Q2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摘要 “decomposes” 究竟是数学成分分解，还是仅计算两个参照指标？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1.1 + 摘要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Note 1.1 披露 JS 链式分解存在但 CKI 刻意不用：HK 与 identity 两子集独立重归一化分别算 JS 再取比，无跨子集可加性假设；摘要改为 “contrasts two self-normalized reference rates—a functional rate (k_f) and a baseline rate (k_n)—and reports their ratio”。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Q3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“normalizes away shared variation” 从数学上讲需特定模型和条件？现在满足吗？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1.4 + MS Intro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补上四条件：(i) 小位移卡方近似 JS≈(1/8 ln 2)Σ(Δp)²/m 下共享乘性偏移在比值中相消；(ii) HK 可交换性（Note 6）；(iii) 面板固定；(iv) 维度失配可忽略（Note 16）。条件外按校准基线经验读数而非精确归一。MS 正文加 “(Supplementary Note 1.4)” 指针（词中性）。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“理论基线 ω=1 (k_f=k_n)” 成立吗？两个散度都为零会怎样？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1.4 + Fig 1e 图注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ω=1 是全匹配零假设的期望值而非定理——实测基线 7.70 已证伪名义 1，ω=1 实际标志强功能约束；0/0 被 positivity guard 排除（最小实测 k_n 9.2e-5），若出现则无定义而非证据。图注 “theoretical baseline” 改为 “full-matching expectation”。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Q5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Dirichlet 模拟能推出所有采样模型下都没有维度影响吗？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新脚本 notebooks/84 + Note 16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不能——已实测边界并诚实写入。三族扩展（每格 2,000 对，seed 42，d∈{50,1130,2000,5000}）：(A) Dirichlet α=0.1–10，d≥1,130 比值 0.998–1.000 不变；(B) 零膨胀 z=0.5–0.9 比值 0.999–1.009 不变；(C) 有限计数采样追踪理论预测 (d−1)/(4N ln 2)（emp/theory 1.00–1.10），N=10⁴、d=5,000 时 mean JS 达 0.20 不变性破裂，N≥10⁶ 时 ≤0.002。Note 16 限定语：不变性仅限群体水平比例+足够计数深度，CKI 伪 bulk 有效 N 大且同面板置换零吸收残余。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Q6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低 ω 的分子减少/分母增大分别代表什么生物情况？纯分子降还能代表更易受 k_f 影响吗？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1.4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分子降=功能约束（身份基因异常相似）；分母升=基线噪声升高（TCGA 反转机制）——生物学含义相反；纯分子降仍表示 k_f 侧约束更强，而非“对 k_f 更敏感”。故所有低 ω 排序声明均配 Note 5 组分对照。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Q7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比值上偏与“校准吸收”两者成立的条件是什么？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4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吸收成立需三条件：(i) 基线与检验统计量同估计量/基因集/预处理；(ii) 偏差是 k_n 的光滑函数（delta-method ρ=0.99）；(iii) 推断对经验零分布而非绝对阈值。跨 k_n 尺度不转移——小分母对读大分母基线时 +6.5% 偏差不被吸收。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Q8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k_f 是哪些目标量的上界？在什么条件下成立？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9 + MS Limitations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estimand 明确为同对非循环 leave-pair-out 面板的 k_f；1.61 倍是分布中位数（IQR 1.27–2.07），非逐对确定不等式，同背景/方案/预处理下成立。MS Limitations “inflated upper bounds” 改为 “exceed non-circular panel values”。</w:t>
            </w:r>
          </w:p>
        </w:tc>
      </w:tr>
    </w:tbl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两个真软肋的处理：Q2 通过 SI Note 1.1 披露 + 摘要措辞修正彻底消除误导；Q5 不仅加了限定语，还补了 36 格新模拟把边界量化——经验值与卡方理论 (d−1)/(4N ln 2) 吻合度 1.00–1.10，边界位置与 CKI 不在边界上的理由均已写清。</w:t>
      </w:r>
    </w:p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主要改动文件：notebooks/68_gen_supplementary_nc.py（SI Note 1.1/1.2/1.4/4/9/16）、generate_manuscript_nc.py（摘要/Intro/Fig 1e 图注/Limitations）、notebooks/84_dirichlet_overdispersed_dimension.py（新增）；Q5 产物 results/dirichlet_overdispersed_dimension.csv 与同名 report.md（按仓库惯例不入库，脚本可复现）。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SimHei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2026-10-10T14:07:39.184Z</dcterms:created>
  <dcterms:modified xsi:type="dcterms:W3CDTF">2026-10-10T14:07:39.188Z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