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Cell-type Identity Index for Quantifying Baseline-Normalized Divergence</w:t>
      </w:r>
    </w:p>
    <w:p>
      <w:pPr>
        <w:jc w:val="center"/>
      </w:pPr>
      <w:r>
        <w:rPr>
          <w:rFonts w:ascii="Arial" w:hAnsi="Arial"/>
          <w:color w:val="000000"/>
          <w:sz w:val="20"/>
        </w:rPr>
        <w:t>Running title: CKI: Baseline-Normalized Divergence Index</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Standard distance metrics conflate baseline variation with functional adaptation in single-cell genomics. Inspired by the Ka/Ks ratio, CKI (Cell-type Identity Index) decomposes divergence into a baseline rate k_n (housekeeping genes) and a functional rate k_f (identity genes); ω = k_f/k_n quantifies baseline-normalized functional divergence. In a ground-truth simulation, ω alone rejected neutral housekeeping-gene drift (false-positive rate 0.00, versus 0.58 for cosine and 0.55 for raw JS) and ranked first for functional-versus-neutral discrimination (AUC = 0.80), at the cost of bounded power. We evaluated CKI on mouse (Tabula Muris), human (Tabula Sapiens), pan-cancer (The Cancer Genome Atlas, TCGA; exploratory), and brain single-nucleus datasets. Calibration established an equivalent-population baseline (ω = 6.67, 95% CI [4.24, 9.24]). CKI ω correlated negatively with all standard distance metrics (Spearman r = −0.36 to −0.46), partly a k_n-denominator artifact. Brain analysis indicated a 6.10-fold regional differentiation gradient across 10 non-neuronal classes, predominantly k_n-driven (3.21-fold k_n versus 2.03-fold k_f); under a strict block-shuffle null, four of ten classes showed significant regional structure (three after false-discovery-rate correction), but no pair survived correction. A gene-panel ablation showed per-pair gene selection inflates k_f (median 1.6-fold) but preserves rankings (Spearman ρ ≈ 0.92 across 31,764 brain comparisons). CKI is available as an open-source package.</w:t>
      </w:r>
    </w:p>
    <w:p>
      <w:pPr>
        <w:jc w:val="center"/>
      </w:pPr>
      <w:r>
        <w:rPr>
          <w:rFonts w:ascii="Arial" w:hAnsi="Arial"/>
          <w:color w:val="000000"/>
          <w:sz w:val="20"/>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6.67, 95% bootstrap CI [4.24, 9.24]).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w:t>
      </w:r>
    </w:p>
    <w:p>
      <w:pPr>
        <w:pStyle w:val="Heading1"/>
        <w:spacing w:before="420" w:after="160"/>
      </w:pPr>
      <w:r>
        <w:rPr>
          <w:rFonts w:ascii="Arial" w:hAnsi="Arial"/>
          <w:color w:val="000000"/>
          <w:sz w:val="28"/>
          <w:b/>
        </w:rPr>
        <w:t>Materials and 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(13). Pseudobulk vectors average expression across cells sharing the same cell-type annotation (at least 10 cells per group). Housekeeping (HK) genes are loaded from the HRT Atlas v1.0 reference (14)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(15)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0.4.2. All ω values reported here were computed with the abs-diff scheme.</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S10). The systematic inflation of k_f relative to k_n (ω = 6.67 for equivalent populations) therefore arises from HVG selection bias rather than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Bootstrap 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bootstrap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(16)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(17) with flavor="seurat" (18,19)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(20): five cancer types from NCI Genomic Data Commons, accessed via TCGAbiolinks (21) and cBioPortal (22) APIs. LUAD: 495 tumor + 76 normal; LUSC: 567 tumor + 58 normal; LIHC: 365 tumor + 57 normal; KIRC: 755 tumor + 82 normal; BRCA: 1032 tumor + 109 normal. TPM values from UCSC Xena, log2(TPM + 1) transformed. BRCA PAM50 subtype assignments (23,24) were retrieved from cBioPortal (brca_tcga_pub study, PAM50_SUBTYPE clinical attribute; 522 samples with subtype calls). LIHC Edmondson grade (25):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283d65eb-2f53-46e9-a951-0da342e3d1f2). We used the Nonneurons.h5ad dataset (888,263 nuclei, 59,480 genes, 108 brain regions), classified by supercluster_term annotation into 10 major non-neuronal classes (astrocytes 155,025; oligodendrocytes 490,246; oligodendrocyte precursors 105,723; committed oligodendrocyte precursors 4,118; microglia 91,826; vascular cells 9,586; fibroblasts 8,897; ependymal cells 5,779; choroid plexus 7,643; Bergmann glia 7,965); after filtering (&gt;= 20 nuclei per (region, cell_type) group, &gt;= 50 per region), 886,808 nuclei contributed to the analysis.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Robustness scenarios (30% dropout, twofold depth difference, fourfold cell-count imbalance) and module-size sensitivity (m = 50, 200, 500) were run at δ = 0.25 and δ = 1. The entire design was repeated in a second, unrelated background—Tabula Muris FACS skin keratinocyte stem cells (1,371 cells)—with identical grids, module seeds, group sizes, and code path (1,750 replicates per background across the full grid). Full results: Supplementary Note 3.12 and the results/groundtruth_simulation_*.csv files of the companion repository.</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(23,24)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(25)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(Apple M2, 16 GB RAM); the full brain analysis (31,764 pairs) required approximately 72 core-hours on a 32-core workstation. All analyses were performed in Python 3.14.4 with scanpy 1.12.1 (17), scipy &gt;= 1.10.0, numpy &gt;= 1.23.0, pandas &gt;= 1.5.0, matplotlib &gt;= 3.6.0, seaborn (26) &gt;= 0.12.0, and scikit-learn (27) &gt;= 1.2.0; all random seeds were fixed at 42. Bootstrap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Permutation testing (28) was performed for all four datasets with B = 1,000: label permutation for the mouse pilot (15 cell-type pairs, 6 calibration controls),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bootstrap is the sole exception, holding a fixed HVG panel; Methods). Benjamini-Hochberg FDR correction (16)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(n = 6 random splits of the same tissue) yielded a mean ω = 6.67 (95% bootstrap CI [4.24, 9.24], B = 10,000),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pre-specified exception: the mouse-pilot X-versus-C calibration contrast (Fig. 2D) uses a one-sided Mann-Whitney U test (H1: ω_X &gt; ω_C) because the calibration hypothesis is directional.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which converts expression values to probabilities. k_n is the JS divergence between these two HK gene probability distributions. Because HK genes should not differ systematically between biologically equivalent populations (14),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Supplementary Fig. S1), identity genes are the top-2,000 highly variable genes (HVGs; Seurat flavor), excluding HK genes to maintain k_n/k_f independence. For the mouse pilot calibration and all cross-species analyses (human, TCGA, brain), we used a hybrid scheme: k_n is computed per pair on the shared HK gene set, while k_f uses the top-200 differentially expressed genes (ranked by absolute mean difference) for that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(area under the ROC curve, AUC = 0.786,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(14) (mouse ortholog column). For the full pairwise matrix (703 pairs, Supplementary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six control comparisons in which we randomly split the same cell population into two halves (Fig. 2A). The mean ω was 6.67 (median 6.46, range 1.59–12.16, CV ≈ 52%), indicating substantial variability in the empirical baseline estimate. None of the six comparisons reached statistical significance (all P &gt; 0.05, one-sided bootstrap test). This indicates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(Fig. 2B, D). Same cell type across different organs (S category: mean ω = 21.31, n = 4 pairs) had lower ω than different cell types within the same organ (D category: mean ω = 43.19, n = 3 pairs). Because the pilot contains only 2–4 pairs per category, these category means carry wide bootstrap 95% CIs (S: 11.4–35.7; D: 30.1–61.7) and should be read as calibration-scale estimates rather than precise effect sizes. The component-level analysis confirmed that k_f was the driver: from controls to inter-cell-type comparisons, k_f increased roughly 400-fold (mean 0.0015 → 0.63–0.68), while k_n increased only 72–118-fold (0.00022 → 0.016–0.026; control-to-D and control-to-X, respectively).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95% bootstrap CI [4.24, 9.24]) deviates substantially from the theoretical ideal (ω = 1), we introduce a calibrated omega, ω_cal = ω_obs / 6.67, reported to one significant figure as an order-of-magnitude estimate. Under this mouse-derived calibration, mouse controls yield ω_cal = 1.0, the brain global mean becomes ≈ 6 (raw 38.55; range 4.2–9.1 across the baseline CI), astrocytes—the most regionally divergent class—≈ 12 (raw 82.75; range 9.0–19.5), and the most constrained classes, Bergmann glia and vascular cells, ≈ 2 (raw 13.56). However, scheme-matched split-half calibration inside the brain atlas (29 populations with at least 200 nuclei; B = 50 splits per population) gave an internal baseline of 9.73 (95% bootstrap CI [9.03, 10.53]), approximately 1.5-fold higher than the mouse-derived factor, so the mouse-derived calibration overstates ω_cal in the brain dataset. Under the brain-internal baseline the global mean corresponds to ω_cal ≈ 4.0, astrocytes ≈ 8.5, and Bergmann glia ≈ 1.4: Bergmann glia’s own region-clustered CI ([8.49, 19.52]) straddles the baseline, so the most constrained classes sit at, not above, the split-half expectation. The statement that all ten classes diverge beyond the brain-internal baseline holds only under the mouse-derived calibration (Supplementary Note 3.5). In Tabula Sapiens the internal baseline was 7.67 (95% bootstrap CI [7.39, 8.00]; 71 populations from the largest donor per group), inside the mouse-derived CI [4.24, 9.24]; the mouse-derived factor is therefore transferable to Tabula Sapiens but not to the brain atlas, and ω_cal should be treated as a dataset-relative quantity rather than a universal constant. Calibrated values are reported alongside raw ω in all key results and Supplementary Figures S8–S12, and calibrate_omega() is available in the CKI package. The baseline reflects a roughly constant inflation of k_f by identity-gene selection—a mechanism different from the shared-mutation-rate cancellation in Ka/Ks—which is why ω_cal rather than raw ω is the operational scale.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6 h5ad files, 102 cell-type entries, 99 of which passed the pairwise-analysis filters and contributed C(99, 2) = 4,851 pairs across liver, kidney, heart, bone marrow, spleen, and lung). We used the same hybrid scheme as the mouse pilot: k_n computed per pair on the shared HK gene set, k_f from the top-200 differentially expressed genes for that specific pair; because ω is a ratio of JS divergences computed from the same pseudobulk expression space, the normalization remains internally valid. As a sensitivity analysis, we contrasted per-pair k_n with a global-k_n variant (k_n computed once from the full gene-by-cell-type pseudobulk matrix): across 31,764 brain comparisons, per-pair k_n showed substantial cross-pair variability (CV = 92.89%), and the Spearman correlation between per-pair ω and global-k_n ω was only 0.181 (P = 9.38e-232), confirming that pair-specific k_n is essential for accurate ω ranking (Supplementary Fig. S11). HK genes were loaded from the HRT Atlas v1.0 reference (14) (human column) (Fig. 3).</w:t>
      </w:r>
    </w:p>
    <w:p>
      <w:pPr>
        <w:spacing w:line="276" w:lineRule="auto" w:after="80"/>
        <w:ind w:firstLine="0"/>
      </w:pPr>
      <w:r>
        <w:rPr>
          <w:rFonts w:ascii="Arial" w:hAnsi="Arial"/>
          <w:b w:val="0"/>
          <w:i w:val="0"/>
          <w:color w:val="000000"/>
          <w:sz w:val="22"/>
        </w:rPr>
        <w:t>Human ω values ranged from 1.35 to 87.69 (mean 21.61, median 19.65, n = 4,851 pairs). We deliberately refrain from comparing these absolute magnitudes with the mouse pilot X-category mean (27.31): that summary rests on only n = 2 pairs of a different pair composition on a different dataset scale, and cross-dataset ω comparisons are interpreted as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five metrics on all 4,851 human cell-type pairs: CKI ω, raw JS divergence (all genes), Spearman distance, cosine distance, and marker Jaccard distance.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(the classical spurious correlation of ratios). Decomposing the association: k_f was positively correlated with the standard metrics (Spearman r = +0.43 to +0.72) and k_n more strongly so (r = +0.69 to +0.81); the Spearman correlation between ω and each standard metric conditional on k_n became positive in all four cases (partial r = +0.11 to +0.54, all P &lt; 1 × 10⁻¹⁴; 95% bootstrap CIs excluding zero). The negative raw correlation is thus partly a ratio artifact of the k_n denominator, not evidence that ω measures a fully independent information dimension: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below Spearman distance at AUC = 0.690 and cosine distance at AUC = 0.887; Table 1; Supplementary Fig. S4). Pair-level bootstrap 95% CIs (B = 2,000): CKI ω [0.609, 0.745]; under a cell-type-entry clustered bootstrap the interval widens to [0.540, 0.804], its lower bound only marginally above the 0.5 chance level, so the classification advantage is weak and dependent on the resampling unit. The lower ranking is expected by design: CKI down-weights shared HK gene patterns to isolate functional divergence, trading global-transcriptional-identity sensitivity for identity-gene divergence. Critically, CKI was the only metric where same-organ different-cell-type pairs had higher values than different-organ different-cell-type pairs (mean ω 24.87, n = 1,038 vs. 20.80, n = 3,754; all different-organ pairs combined: 20.73, n = 3,813; Mann-Whitney U, P &lt; 0.001). All four standard metrics showed the opposite pattern. A component decomposition tempers the functional reading of this reversal (companion pair set computed with a marginally less restrictive cell-count filter—n = 1,140 same-organ and 4,011 different-organ pairs versus 1,038 and 3,813 in the main analysis; direction and magnitude unaffected): same-organ pairs have k_f indistinguishable from different-organ pairs (mean 0.247 vs. 0.250, Mann-Whitney P = 0.60) but significantly lower k_n (0.0130 vs. 0.0148, P = 3.0 × 10⁻¹⁶). On the log scale the numerator contributes −0.005 (factor 0.99) while the smaller denominator contributes +0.176 (factor 1.19)—essentially all of the reversal. The reversal therefore indicates a more stable housekeeping baseline within organs, not greater functional specialization of same-organ cell types; conditional on k_n, same-organ pairs retain only a small residual k_f elevation (partial regression coefficient +0.074, P = 9.8 × 10⁻¹⁰).</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perturbations of known magnitude into a real single-cell background (Tabula Muris FACS marrow B cells; both groups of each comparison resampled from the same cell type, so the true pre-injection divergence is zero; Materials and Methods). Under pure neutral housekeeping-gene drift, raw JS divergence and cosine distance exceeded their null thresholds in 55% and 58% of replicates—they cannot distinguish neutral drift from functional divergence—whereas ω produced false positives in 0% of replicates (2% under global overdispersion noise). Exact Clopper-Pearson intervals confirm these rates: ω exceeded its threshold in 0 of 150 pure HK-drift replicates (one-sided 95% upper bound 0.020) and 2 of 250 pooled neutral replicates (95% CI [0.001, 0.029]), versus 0.553 [0.470, 0.635] for raw JS and 0.580 [0.497, 0.660] for cosine. Conversely, detecting an injected functional module required strong signals: at δ = 1 (a twofold shift on 200 genes), raw JS detected 99% and cosine 67% of replicates, whereas ω detected none (0 of 150) and k_f alone detected 2 of 150 (95% CI [0.002, 0.047]); only at δ = 2 did ω exceed threshold in 13% of replicates (20 of 150; 95% CI [0.083, 0.198]; range 12–16% across module seeds). This insensitivity is structural: the per-pair top-200 selection saturates with noise even under the null (median null k_f = 0.029 on this background), so weak module shifts do not lift k_f above the selection floor—a simulation-level confirmation that k_f behaves as an upper-bound estimator. When signal and neutral drift co-occurred (δ = 0.5 with η = 0.25–1), ω detection was further suppressed by the inflated denominator, whereas cosine and raw JS detection rose from 14% to 100%, because they count neutral drift as divergence.</w:t>
      </w:r>
    </w:p>
    <w:p>
      <w:pPr>
        <w:spacing w:line="276" w:lineRule="auto" w:after="80"/>
        <w:ind w:firstLine="0"/>
      </w:pPr>
      <w:r>
        <w:rPr>
          <w:rFonts w:ascii="Arial" w:hAnsi="Arial"/>
          <w:b w:val="0"/>
          <w:i w:val="0"/>
          <w:color w:val="000000"/>
          <w:sz w:val="22"/>
        </w:rPr>
        <w:t>Integrating specificity and sensitivity, ω achieved the highest area under the ROC curve for discriminating functional (δ ≥ 0.25) from neutral perturbations (AUC = 0.80, versus 0.72 for k_f alone, 0.64 for raw JS, 0.58 for cosine, 0.44 for k_f/k_total, and 0.21 for k_n alone; replicate-block-stratified bootstrap 95% CIs: ω 0.804 [0.777, 0.831], k_f 0.716 [0.681, 0.748], with the ω advantage over k_f holding in 100% of resamples): the apparent power of the standard metrics is purchased with false positives on neutral drift. The ratio construction also conferred robustness to technical asymmetry: under a fourfold cell-count imbalance (n_B = 50), ω changed by −27% while k_f inflated by +81% and cosine distance by +103%, and neither 30% dropout nor a twofold depth difference produced a systematic shift. The baseline ω of the simulation background (mean 11.6, 95th percentile 20.8) reproduced the scale of the brain-internal split-half calibration (9.73), supporting the external validity of the setup. These results delimit the intended use of ω: a specificity-first screen whose construction rejects neutral drift, at the cost of bounded power for weak-to-moderate functional signals (Supplementary Note 3.12).</w:t>
      </w:r>
    </w:p>
    <w:p>
      <w:pPr>
        <w:spacing w:line="276" w:lineRule="auto" w:after="80"/>
        <w:ind w:firstLine="0"/>
      </w:pPr>
      <w:r>
        <w:rPr>
          <w:rFonts w:ascii="Arial" w:hAnsi="Arial"/>
          <w:b w:val="0"/>
          <w:i w:val="0"/>
          <w:color w:val="000000"/>
          <w:sz w:val="22"/>
        </w:rPr>
        <w:t>To exclude background specificity, the entire simulation was repeated in a second, unrelated background—Tabula Muris FACS skin keratinocyte stem cells (1,371 cells; epithelial versus immune lineage, different tissue and sequencing depth)—with the identical design (1,750 replicates; Materials and Methods). The ω advantage was fully reproduced: AUC(ω) = 0.908 versus AUC(k_f) = 0.859, with identical metric ranking in both backgrounds (ω &gt; k_f &gt; k_total ≈ cosine &gt; k_f/k_total &gt; k_n) and ω AUC gains over k_f of +0.088 (marrow) and +0.049 (skin). The known limitations replicated as well: under strong confounding (δ = 0.5 with η ≥ 0.25 neutral housekeeping drift) both ω and k_f fell below the detection threshold, and under the fourfold cell-count imbalance (n_B = 50) k_f retained higher power than ω (detection rate 0.98–1.00 versus 0.04–0.20 in the skin background), because the ratio construction adds the variance of the k_n denominator to the estimator—the flip side of its immunity to neutral drift.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Replacing the circular per-pair panel with non-circular alternatives left rankings essentially untouched: pair-level ω under the leave-pair-out scheme correlated with the reported scheme at Spearman ρ = 0.937 (ρ = 0.918 for the fixed 2,000-gene panel, 0.931 for all 5,000 non-HK genes), and the ordering of the ten class means at ρ = 0.99 under leave-pair-out (0.90 and 0.93 under the fixed and unselected panels). The astrocyte-to-Bergmann-glia gradient—the headline brain result—was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(P = 0.005), fibroblasts remained significant (P = 0.020, versus 0.030 reported), vascular cells—non-significant under the reported scheme (P = 0.115)—reached significance (P = 0.035), ependymal cells were not significant (P = 0.164), and the remaining classes (microglia P = 0.796, oligodendrocytes P = 0.876, choroid plexus P = 0.562, Bergmann glia P = 0.980) stayed clearly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(which also differ in panel composition), confirming that reported k_f magnitudes—and therefore absolute ω—are upper-bound estimates whose scale is scheme-specific (grand mean 38.55 reported; 26.5 leave-pair-out; 6.5 fixed; 5.3 unselected). Two consequences follow: rank-based conclusions are robust (the multiplicative-residual ranking—the basis of the region-association screen—correlated at ρ = 0.86–0.88 across schemes, and the leave-pair-out scheme retained 32 of 50 (64%) of the reported residual &lt; 0.3 candidate pairs, although the same Strong rule is passed by 457 pairs on the leave-pair-out scale), but absolute thresholds do not transfer: the tier cutoffs (ω &lt; 15/25/35) are calibrated to the reported scheme’s inflated scale, so tier counts are not comparable across gene-selection schemes and cross-scheme comparisons must be made on ranks (Supplementary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Supplementary Fig. S3).</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0.27–0.45), so the ω reversal reflects a more stable housekeeping baseline among adjacent non-tumor specimens rather than smaller functional-gene divergence of tumor cells. Single-cell or deconvolution-based analyses would be needed to disentangle these alternatives.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liver cancer, ω decreased with Edmondson grade (25): G1 (73.5 ± 15.6, n = 39) &gt; G2 (67.0 ± 17.7, n = 133) &gt; G3 (66.2 ± 17.1, n = 105) ≈ G4 (66.2 ± 24.5, n = 11; Jonckheere-Terpstra trend test, P &lt; 0.0001). PAM50 subtype analysis (23,24) in breast cancer revealed a heterogeneity gradient: Luminal A highest (123.4 ± 36.2, n = 224), then Luminal B (116.6 ± 26.9, n = 123), HER2-enriched (103.1 ± 29.4, n = 55), Basal-like (97.8 ± 27.1, n = 97), and Normal-like lowest (90.5 ± 44.6, n = 7; Kruskal-Wallis, P = 7.9 × 10⁻¹⁰). LUAD mutation strata differed (Kruskal-Wallis, P = 2.1 × 10⁻⁶), with KRAS-mutant (118.1 ± 27.7, n = 120) and EGFR-mutant tumors (107.0 ± 24.8, n = 61) above wild-type (100.5 ± 33.9, n = 311). The smallest subgroups (Normal-like n = 7; Edmondson G4 n = 11) have limited power, and the PAM50 gradient may partly reflect proliferative-fraction differences (Basal-like tumors proliferate fastest and have the lowest ω), so the observed convergence could be driven by proliferation programs overriding tissue-specific expression; the analysis remains exploratory for the reasons given above.</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 Supplementary Fig. S5)?</w:t>
      </w:r>
    </w:p>
    <w:p>
      <w:pPr>
        <w:spacing w:line="276" w:lineRule="auto" w:after="80"/>
        <w:ind w:firstLine="0"/>
      </w:pPr>
      <w:r>
        <w:rPr>
          <w:rFonts w:ascii="Arial" w:hAnsi="Arial"/>
          <w:b w:val="0"/>
          <w:i w:val="0"/>
          <w:color w:val="000000"/>
          <w:sz w:val="22"/>
        </w:rPr>
        <w:t>The cross-organ ω ranking reveals a broad spectrum of conservation across 17 cell types (Table 2). Because single-pair means are statistically uninformative, we anchor interpretation on well-sampled cell types (n ≥ 5 pairs; upper block of Table 2): CD8+ T cells (mean ω = 9.93 ± 4.62, n = 6) and Plasma cells (mean ω = 10.20 ± 2.03, n = 6) were the most conserved, followed by Neutrophils (mean 14.22 ± 8.49, n = 6) and NK cells (mean 17.28 ± 3.14, n = 10); Macrophages, the most abundant type in cross-organ comparisons (n = 15), showed intermediate conservation (mean 15.49 ± 8.46). At the divergent end, Endothelial cells (mean 26.25 ± 8.59, n = 3) and Erythrocytes (mean 29.36 ± 23.07, n = 3) had the highest cross-organ ω, consistent with the organ-specific gene programs of endothelial cells (29), although both are represented by only n = 3 pairs and this end of the ranking is suggestive only. Among sparsely sampled cell types (n = 1–3 pairs, lower block of Table 2), Hepatocytes and B cells show the lowest single-pair ω values, but with one pair each these estimates carry no reliable biological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RNA-seq atlas (12), which profiles ~3.3 million nuclei across 108 brain regions, asking how much functional divergence separates the same cell type across regions. We focused on the 888,263 non-neuronal nuclei spanning 10 major cell classes (astrocytes, oligodendrocytes, oligodendrocyte precursors, microglia, vascular cells, fibroblasts, ependymal cells, choroid plexus, committed oligodendrocyte precursors, and Bergmann glia); 886,808 nuclei in groups passing the &gt;= 20-nuclei filter contributed to the analysis. Neurons were excluded because the supercluster_term annotation does not resolve neuronal subtype heterogeneity (glutamatergic, GABAergic, dopaminergic, spanning dozens of transcriptionally distinct populations), and treating neurons as a single class would violate the same-cell-type assumption, as different regions contain fundamentally different neuron subtype compositions; the non-neuronal classes provide a practical aggregation level for cross-region comparison. CKI ω was computed for all same-cell-type cross-region comparisons (31,764 pairs total) (Fig. 6; Supplementary Fig. S6). These classes are not equally well defined: vascular cells and fibroblasts are heterogeneous superclusters that likely aggregate multiple transcriptionally distinct subtypes (perivascular and meningeal populations among others), so their class-level ω values represent supercluster averages rather than properties of a single coherent cell type.</w:t>
      </w:r>
    </w:p>
    <w:p>
      <w:pPr>
        <w:spacing w:line="276" w:lineRule="auto" w:after="80"/>
        <w:ind w:firstLine="0"/>
      </w:pPr>
      <w:r>
        <w:rPr>
          <w:rFonts w:ascii="Arial" w:hAnsi="Arial"/>
          <w:b w:val="0"/>
          <w:i w:val="0"/>
          <w:color w:val="000000"/>
          <w:sz w:val="22"/>
        </w:rPr>
        <w:t>Mean ω spanned a 6.10-fold gradient across cell classes. Bergmann glia and vascular cells showed the lowest mean ω (both 13.56; Bergmann glia 13.56 ± 5.58, n = 21 pairs across 7 regions—all intra-cerebellar, so their low ω partly reflects this anatomical restriction; vascular cells 13.56 ± 4.78, n = 3,321 pairs across 82 regions). They were followed by fibroblasts (18.18 ± 9.59, n = 3,403 pairs across 83 regions), ependymal cells (22.98 ± 10.14, n = 780 pairs across 40 regions), microglia (24.31 ± 12.35, n = 5,671 pairs across 107 regions), and committed oligodendrocyte precursors (28.84 ± 12.51, n = 1,326 pairs across 52 regions); oligodendrocytes (37.05 ± 15.73, n = 5,778 pairs across 108 regions), choroid plexus (37.76 ± 15.41, n = 15 pairs across 6 regions; too sparsely sampled to rank reliably), and oligodendrocyte precursors (40.62 ± 19.89, n = 5,671 pairs across 107 regions) showed intermediate-to-high divergence. Astrocytes were the most regionally divergent (82.75 ± 44.98, n = 5,778 pairs across 108 regions), a 6.10-fold increase over Bergmann glia and vascular cells. Region-clustered block bootstrap 95% CIs for the class-level means (B = 2,000; Methods): astrocytes 82.75 [75.66, 89.53], oligodendrocyte precursors 40.62 [37.02, 44.21], oligodendrocytes 37.05 [34.31, 39.88], microglia 24.31 [21.80, 26.87], Bergmann glia 13.56 [8.49, 19.52]. Excluding Bergmann glia the gradient remains 6.10-fold (astrocyte versus vascular cells; pair-level bootstrap 95% CI [6.00, 6.21]); the region-clustered CI for the full 10-class gradient is 6.10 [5.55, 9.63].</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SES = 6.49; OPCs: P = 0.002, SES = 4.04; committed OPCs: P = 0.005, SES = 2.60; fibroblasts: P = 0.030, SES = 1.83). Ependymal cells were borderline (P = 0.075, SES = 1.52) and vascular cells non-significant (P = 0.115, SES = 1.24), both reflecting low effect sizes. For three classes the observed mean fell below the null expectation (microglia P = 0.904, SES = −1.25; oligodendrocytes P = 0.883, SES = −1.15; Bergmann glia P = 0.998, SES = −2.76), and choroid plexus was not significant (P = 0.566, n = 15 pairs). Under Benjamini-Hochberg correction across the m = 10 non-neuronal classes, astrocytes and OPCs have q = 0.010, committed OPCs q = 0.017, and fibroblasts q = 0.075. A donor-stratified null sensitivity analysis (Methods) gives 5 of 10 classes with raw P &lt; 0.05—including ependymal cells (P = 0.021) and fibroblasts (P = 0.048)—of which the same 3 of 10 survive Benjamini-Hochberg correction (ependymal cells q = 0.052 and fibroblasts q = 0.096 do not pass).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Two analyses probe the robustness of the gradient. First, because the atlas contains nuclei from only four donors and 94.5% of region pairs share at least one donor, the pooled gradient could reflect donor identity rather than regional biology. Restricting comparisons to same-donor region pairs (within-donor cross-region analysis; Methods) preserved the extremes: astrocytes remained the most divergent class (mean ω = 75.18 across 11,139 within-donor pairs, versus 82.75 pooled) and Bergmann glia the least (16.73), a 4.50-fold gradient. The middle of the ordering is noisier (oligodendrocytes 56.93 versus 37.05; vascular cells 20.89 versus 13.56; OPCs 26.34 versus 40.62). Donor sharing cannot explain the gradient away, although within-donor values are systematically lower for the largest classes, indicating some between-donor contribution. Second, component decomposition shows the astrocyte-versus-Bergmann-glia contrast is predominantly a k_n effect: k_f differs only 2.0-fold (0.135 vs. 0.067) while mean k_n differs 3.2-fold (1.81 × 10⁻³ vs. 5.83 × 10⁻³); multiplicatively, 6.10 ≈ 2.03 × 3.21 ≈ 6.51. Across the ten classes, class-mean ω tracks k_n (Spearman ρ = −0.73, P = 0.02) but not k_f (ρ = 0.09, P = 0.80), and under a k_f-only ordering astrocytes rank third of ten (k_f-only gradient 4.1-fold; k_n-only 6.7-fold). The gradient chiefly reflects how stably housekeeping programs are maintained across regions, not proportionally larger functional-gene divergence. The ordering is stable under an aggregate-first k_n estimator (Spearman ρ = 0.988 versus the per-pair estimator, gradient 6.51-fold) but not under a single global k_n shared by all classes (ρ = 0.09), because that variant rescales k_f alone. We therefore recommend interpreting class-level ω as a composite signal and comparing k_f and k_n directly when mechanistic attribution matters.</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transcriptional programs across brain regions—though low class-level ω is not spatial uniformity, since the blood-brain barrier is itself molecularly heterogeneous between regions (30) and meningeal structure differs across compartments (31); such regional specialization is small relative to the transcriptional differences that define distinct cell identities. Microglia, the brain’s resident immune cells, showed intermediate divergence: their phenotypes vary regionally but their core surveillance and phagocytic machinery is shared (32). Oligodendrocyte myelination can be tuned to regional circuit demands, and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(ρ(ω, k_f class means) = 0.09; astrocytes rank third of ten under k_f alone), so the gradient should not be read as a ranking of functional divergence. The grand mean ω across all 31,764 pairs (38.55) is lower than the astrocyte mean (82.75) because it is dominated by cell types with many pairs and lower ω (e.g., vascular cells n = 3,321 at 13.56, microglia n = 5,671 at 24.31),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framework for generating hypotheses about cell residence and migration history: cell types that recently migrated to new regions or continuously exchange between regions should show low inter-regional ω, while types stably resident in specific regions should accumulate regional transcriptional signatures. The framework must be applied with cell biology in mind. Vascular cells and fibroblasts are tissue-resident and replenished locally, so their low ω is more parsimoniously explained by local maintenance of a conserved structural program than by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Because no individual candidate signal survives multiple-testing correction (below), we present this framework as hypothesis generation complementing lineage tracing and developmental studies rather than as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Such similarity can arise from at least four non-exclusive mechanisms: (i) developmental origin heterogeneity—cells from different embryonic progenitor pools (e.g., dorsal vs. ventral) retain distinct adult transcriptomic identities; (ii) embryonic colonization route boundaries—immune cells that entered through different developmental entry points (33–35) show residual transcriptomic discontinuities; (iii) compartmentalized developmental specification—region-specific developmental programs produce persistent astrocyte and vascular identity differences; and (iv) postnatal cell migration, as documented for the perivascular migration of oligodendrocyte precursor cells (36,37). In the corrected candidate screen, mechanism (ii) is most directly implicated by the candidate composition and mechanism (iv) the least: only 2 of 39 Strong candidates are OPC or committed OPC, and the oligodendrocyte lineage as a whole is not enriched (fold 0.77, P = 0.92), so migration-driven similarity should be read as a possibility the data do not currently evidence. Mechanism assignment below is therefore a literature-guided interpretation, not a validated discovery. Region abbreviations follow the Siletti et al. dissection nomenclature (glossary in Supplementary Note 3.14); the numbered labels (A13, A14, A38, A40, A46, etc.) denote Brodmann-designated cortical areas, not thalamic nuclei, and TF denotes the temporal area TF of the occipitotemporal (fusiform) gyrus.</w:t>
      </w:r>
    </w:p>
    <w:p>
      <w:pPr>
        <w:spacing w:line="276" w:lineRule="auto" w:after="80"/>
        <w:ind w:firstLine="0"/>
      </w:pPr>
      <w:r>
        <w:rPr>
          <w:rFonts w:ascii="Arial" w:hAnsi="Arial"/>
          <w:b w:val="0"/>
          <w:i w:val="0"/>
          <w:color w:val="000000"/>
          <w:sz w:val="22"/>
        </w:rPr>
        <w:t>To formalize the screen, we used a multiplicative model: for each (cell_type, region_pair) combination, expected_ω = μ_ct × μ_pair / μ_grand, where μ_ct is the cell type’s global mean ω, μ_pair the region pair’s mean ω, and μ_grand the global mean (38.55). The multiplicative residual = observed / expected: a residual substantially below 1 indicates the cell type is far less differentiated between two regions than expected from both its own global plasticity and the pair’s overall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S7).</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Under the block-shuffle null (B = 1,000), 31 of the 39 Strong candidates showed raw one-sided P &lt; 0.05, but after Benjamini-Hochberg correction across all 31,764 pairs none reached q &lt; 0.05 (minimum q = 0.520). A selection-rule empirical FDR analysis, recomputing the full tier rule on each permutation, quantifies this directly: the null expectation of the Strong rule is 148.3 candidates, 3.8-fold above the 39 observed (P(null count ≥ 39) = 1.0), and for the Strong rule restricted to raw P &lt; 0.05 the null expectation (131.2) exceeds the observed 31 4.2-fold. The rule is therefore anti-enriched relative to the null at every level. A cell-type-stratified BH sensitivity analysis yields a single family below the nominal threshold—the Bergmann-glia family (m = 21 pairs; minimum q = 0.042, 4 pairs at q &lt; 0.05)—while the remaining nine families have minimum q ≥ 0.28. Because all Bergmann-glia comparisons are intra-cerebellar, no candidate crosses class boundaries under stratification. Globally, 1,960 of 31,764 pairs (6.2%) showed raw lower-tail P &lt; 0.05, above the null mean of 1,588 and its 99th percentile (1,956; P = 0.011, 0.022 after Bonferroni correction across the two tails). The excess is contributed chiefly by classes whose mean ω sits below the null expectation (microglia: 8.06% of class pairs at lower-tail P &lt; 0.05, +173 above the 5% null rate; oligodendrocytes: 6.01%, +58; Bergmann glia: 8 of 21 pairs, 38.1%), but also by astrocytes (7.60%, +150), whose wide right-skewed ω distributions generate low-ω pairs despite a high class mean. The complementary upper tail shows the opposite excess: 2,510 pairs (7.9%) had upper-tail P &lt; 0.05, concentrated in the most regionally structured classes (astrocytes 16.2%, committed OPCs 9.7%, OPCs 9.6%; Bergmann glia 0%). The per-pair P-value distribution is thus shifted, consistent with the class-level structure (4 of 10 classes above the null, 3 below), reflecting distributional shifts rather than individually validated low-ω pairs. We therefore present the Strong candidates as a prioritized hypothesis list. Candidates concentrate in microglia: 16 Strong candidates (13 with raw P &lt; 0.05), versus oligodendrocytes 10 (10), fibroblasts 6 (4), astrocytes 3 (3), ependymal cells 2 (0), committed OPCs 1 (0), and OPCs 1 (1); vascular cells, choroid plexus, and Bergmann glia contributed none. Across a grid of 20 (residual-cap, ω-cap) combinations spanning residual &lt; 0.2–0.4 and ω &lt; 12–25, no combination showed oligodendrocyte-lineage enrichment (fold 0–1.15, hypergeometric P ≥ 0.43 at every grid point). The microglial concentration, measured against the class share of comparisons, appears as a 2.30-fold enrichment (hypergeometric P = 6.0 × 10⁻⁴; Bonferroni-corrected P = 0.006), but the comparison share is not the relevant null: the Strong rule itself fires preferentially on low-ω classes—of the 148.3 null-rule candidates, 52.0 (35%) are microglial, an intrinsic 1.96-fold bias. Against this design-matched null, microglia show no enrichment (observed 16 versus 52.0 expected; fold 0.31; P(null microglial count ≥ 16) = 0.990). The concentration does not survive the alternative gene-selection schemes (leave-pair-out panel: 85 of 457 Strong candidates, a 1.04-fold share-level enrichment with hypergeometric P = 0.36; all-gene panel: 1 of 10), and across the same 20-combination grid the share-level enrichment is Bonferroni-significant at 11 of 20 threshold combinations. The apparent concentration is therefore a property of the rule interacting with the class-ω scale, and we make no class-composition claim; it also reconciles the class-level test, where microglia’s mean ω sits below the null expectation (P = 0.904); both reflect the same downward shift of the microglial ω distribution.</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of which 13 had raw block-shuffle P &lt; 0.05)—roughly 2.3-fold more than expected from their share of comparisons (17.9% of pairs; fold enrichment 2.30, hypergeometric P = 6.0 × 10⁻⁴, Bonferroni-corrected P = 0.006 across the ten classes). As quantified above, this share-level excess is an artifact of the screening rule’s intrinsic bias toward low-ω classes (fold 0.31 against the null-rule expectation; Results), and the concentration does not survive the leave-pair-out gene-panel scheme, so we make no class-composition claim from it. The microglial candidates nonetheless show convergences worth cataloguing: five pairs involve the lateral geniculate nucleus (LG) as one endpoint (Cla-LG, BM-LG, A14-LG, LG-TF, A13-LG), four involve the pulvinar (Pul; Cla-Pul, A14-Pul, A13-Pul, Pul-TF), and four the occipitotemporal area TF (the temporal part of the fusiform gyrus; LG-TF, DTg-TF, Pul-TF, PnAN-TF), with the orbitofrontal cortical areas A13 (caudal intermediate orbital gyrus) and A14 (gyrus rectus, medial orbitofrontal cortex) appearing as endpoints in three pairs each. Because no candidate survives FDR correction and the concentration mirrors the rule’s bias, we read these entries as hypothesis-generating targets for spatial-transcriptomic and lineage follow-up (32)—consistent with the class-level observation that the microglial mean ω sits below the null expectation (P = 0.904)—not as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Four pairs involve the occipitotemporal area TF as one endpoint (GPe-TF, MG-TF, LP-TF, STH-TF), three the medial geniculate nucleus (MG; A13-MG, MG-Pro, MG-TF), and six of the ten have a thalamic relay-nucleus endpoint (LP, Pul, VA, or MG; eight if the subthalamic nucleus STH, which the atlas dissection ontology groups under thalamus but is not a thalamic relay nucleus, is also counted)—a notable convergence given the 108 regions available to this class. Committed oligodendrocyte precursors contributed a single Strong candidate (AON-PnRF, raw P = 0.097), and OPCs one (MD-Re-Pul, raw P = 0.001). Adult oligodendrocytes are generally considered non-migratory between regions; Foerster et al. (38) demonstrated that cortical oligodendrocytes are predominantly dorsally derived, whereas thalamic and brainstem oligodendrocytes are ventrally derived, with persistent cell-autonomous transcriptional identity. The thalamo-temporal orientation of these candidates—low-ω pairs linking thalamic (ventral-origin) dissections with the occipitotemporal area TF (dorsal/cortical-origin), i.e., crossing rather than following dorsoventral origin boundaries—is compatible with such developmental origin boundaries rather than migration, but given the null FDR result we present this as one candidate interpretation among several.</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(A43-A5/A7, CBL-CBV, CM-Pf-VPL, all with raw P &lt; 0.05); fibroblasts contributed 6, of which 5 involve area 40 as one endpoint (A40-MD, A40-PnRF, A40-IC, A40-PN, PAG-DR-A40; together with PAG-DR-SI; 4 of 6 with raw P &lt; 0.05), and ependymal cells contributed 2 (CA1C-CA3C-Pul and NAC-Pul, both raw P &gt; 0.05). Bergmann glia, vascular cells, and choroid plexus contributed none; the absence of Bergmann glia candidates is consistent with their developmentally patterned, transcriptionally constrained state in the adult cerebellum (39,40) and their low global ω (13.56)—though all Bergmann glia comparisons are intra-cerebellar, so both the low class mean and the absence of candidates partly reflect the anatomical restriction of this class to a single brain structure. None of these sparse signals survive multiple-testing correction; they are catalogued because their region identities are compatible with published developmental mechanisms (compartmentalized astrogenesis (41); cerebellar molecular topography (39)),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differentiation gradient is supported for 4 of 10 classes (3 of 10 after Benjamini-Hochberg correction), with microglia, oligodendrocytes, and Bergmann glia showing observed means below the null expectation, whereas no individual cell-type/region-pair candidate survives FDR correction (minimum q = 0.520; the cell-type-stratified minimum q = 0.042 is confined to the intra-cerebellar Bergmann-glia family). An earlier implementation of this test, which shuffled cell-type labels within each region pair (B = 10,000), produced anti-conservative P-values (36.3% of pairs at the P-value floor) because per-pair shuffling ignores the block structure of 10x libraries; the block-shuffle null used here preserves that structure.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[4.24, 9.24]), indicating that k_f systematically exceeds k_n even for identical populations due to identity-gene selection. We therefore use ω_cal = ω / 6.67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(42) and SATURN (4) excel at cross-species alignment; CACIMAR (43)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If the signal is real, it may point to common vulnerabilities across genetically diverse tumors; the PAM50 gradient (aggressive subtypes show lower ω, consistent with proliferation programs overriding tissue-specific expression) cannot rule out the proliferation-confound explanation, and single-cell or deconvolution-based validation would be needed. The raw ω scale also varies substantially across datasets and computation schemes (e.g., BRCA Luminal A ω ≈ 123.4 versus mean brain regional ω = 38.55). In TCGA, per-pair k_n is comparable to the single-cell datasets (mean 0.005, range 1.6 × 10⁻⁴–5.6 × 10⁻², versus a mean per-pair k_n of 0.003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an earlier per-pair shuffle implementation was anti-conservative (36.3% of pairs at the P-value floor) because it ignored the experimental block structure, which the block-shuffle null rectifies.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(38)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(44) was limited by the small number of directly comparable cell types: across the 15 shared cell types, per-cell-type mean ω rankings showed no significant cross-species correlation (Spearman r = −0.17, P = 0.55),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above oligodendrocytes, with OPCs lowest—an ordering partially consistent with the single-cell observation that early oligodendrocyte differentiation stages are broadly similar across juvenile CNS regions, whereas subsets of mature oligodendrocytes become enriched in specific regions of the adult brain (45,46),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matches the dorsal-versus-ventral developmental origin boundaries of forebrain oligodendrocytes demonstrated experimentally by Foerster et al. (38). Each of these correspondences is a consistency check at the level of direction and anatomical logic;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6.67.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direction parameter in the CKI package.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(14)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6.67,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(47), potentially affecting the k_n baseline in a disease-specific manner. The empirical calibration factor (ω_cal = ω / 6.67, 95% bootstrap CI [4.24, 9.24]) derives from only n = 6 mouse split-half controls under the per-pair DE hybrid scheme; the mouse full pairwise matrix (703 pairs, Supplementary Fig. S1) uses a different scheme (global top-2,000 HVGs), so cross-scheme comparison of absolute ω requires caution. Applying the CI bounds shifts ω_cal by factors of 1.57 and 0.72;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[4.24, 9.24], whereas the brain-internal baseline (9.73, 95% CI [9.03, 10.53]) is approximately 1.5-fold higher, so the mouse-derived ω_cal overstates calibrated values in the brain dataset (Bergmann glia ω_cal ≈ 1.4 under the internal baseline rather than ≈ 2).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92.89%),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bootstrap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never triggered (0 pairs below it; minimum k_n = 1.62 × 10⁻⁴), so pair-level ω equals k_f/k_n exactly and is a k_n-dominated composite (Spearman ρ(ω, k_f) = −0.10; log-scale variance of k_n accounts for 78%);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A semi-synthetic ground-truth simulation (module-shift injection on a real single-cell background; Supplementary Note 3.12) validated the specificity of ω against neutral drift (type-I error 0.00–0.02, versus 0.55–0.58 for raw JS and cosine) but bounded its sensitivity: detecting injected module shifts required δ ≥ 1–2 (twofold or larger shifts on at least 200 genes), 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(bootstrap: m = 10 for brain, 17 for human, 15 for mouse; residual model: m = 31,764).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In addition, B = 1,000 permutations bounds the resolvable P-value at 9.99 × 10⁻⁴; because the BH threshold for the smallest of m = 31,764 ordered P-values is 0.05/31,764 ≈ 1.6 × 10⁻⁶, detecting FDR-significant per-pair signals would require B ≈ 6 × 10⁵ permutations (or a hierarchically structured multiplicity model), not merely stronger effects.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(v0.4.2) and all analysis notebooks are available at https://github.com/zhanglknt/CKI-cell-type-identification under the MIT License.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(48). TCGA data: NCI Genomic Data Commons (https://portal.gdc.cancer.gov/). HRT Atlas (optional human/mouse HK reference): https://www.housekeeping.unicamp.br. Human brain atlas: CZ CELLxGENE Discover (collection ID as referenced in (12), accessed July 2025). BRCA PAM50 subtype assignments: cBioPortal (brca_tcga_pub study, PAM50_SUBTYPE clinical attribute; (23,24)). MSigDB Hallmark gene sets: from Liberzon et al. (49). The CKI source code (v0.4.2) is publicly available at https://github.com/zhanglknt/CKI-cell-type-identification (tag v0.4.2) under the MIT License. A permanent archival copy has been deposited at Zenodo (DOI: 10.5281/zenodo.20405458). The package requires Python ≥3.10 and runs on Linux, macOS, and Windows. A Dockerfile is provided in the repository for containerized reproducibility. All analysis notebooks and processed data matrices are available in the same GitHub repository (tag v0.4.2) and are included in the Zenodo archive (DOI: 10.5281/zenodo.20405458).</w:t>
      </w:r>
    </w:p>
    <w:p>
      <w:pPr>
        <w:pStyle w:val="Heading1"/>
        <w:spacing w:before="420" w:after="160"/>
      </w:pPr>
      <w:r>
        <w:rPr>
          <w:rFonts w:ascii="Arial" w:hAnsi="Arial"/>
          <w:color w:val="000000"/>
          <w:sz w:val="28"/>
          <w:b/>
        </w:rPr>
        <w:t>Supplementary Data</w:t>
      </w:r>
    </w:p>
    <w:p>
      <w:pPr>
        <w:spacing w:line="276" w:lineRule="auto" w:after="80"/>
        <w:ind w:firstLine="0"/>
      </w:pPr>
      <w:r>
        <w:rPr>
          <w:rFonts w:ascii="Arial" w:hAnsi="Arial"/>
          <w:b w:val="0"/>
          <w:i w:val="0"/>
          <w:color w:val="000000"/>
          <w:sz w:val="22"/>
        </w:rPr>
        <w:t>Supplementary Data are available with the online version of this article.</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1"/>
        <w:spacing w:before="420" w:after="160"/>
      </w:pPr>
      <w:r>
        <w:rPr>
          <w:rFonts w:ascii="Arial" w:hAnsi="Arial"/>
          <w:color w:val="000000"/>
          <w:sz w:val="28"/>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28"/>
          <w:b/>
        </w:rPr>
        <w:t>Artificial intelligence use</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(the theoretical baseline for equivalent populations, marked by dashed line) and the empirical calibration baseline ω = 6.67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Spearman correlation between CKI ω and four standard metrics (Cosine, Raw JS, Marker Jaccard, Spearman) on Tabula Muris data. All show negative correlation on mouse data; as on the human data (Results, “Correlation structure between CKI and standard metrics”; Fig. 3), such negativity should not be read as evidence that ω captures an independent information dimension, because it partly reflects the ω denominator. (D)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Scatter plot of CKI ω vs. k_n (baseline rate) on Tabula Sapiens data (n = 4,851 pairs), colored by same-organ vs. cross-organ pairs, with Spearman r. (C) ROC curves for cell-type classification across five metrics on Tabula Sapiens data. (D) ω by comparison category: S (same cell type, different organ), D (different cell type, same organ), X (different cell type, different organ); the C category (random split of the same population) has no pairs in this dataset and is not shown. Box plots show log10(ω) distribution. (E) AUC (cell-type classification) vs. interpretability (decomposability) comparison across five metrics. CKI ω had the lowest AUC of all five metrics (0.680, versus 0.690 for Spearman, 0.801 for marker Jaccard, 0.849 for raw JS, and 0.887 for cosine)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(6.10-fold gradient). The gradient is a composite signal dominated by the k_n denominator (3.21-fold k_n versus 2.03-fold k_f contribution at the endpoint contrast; see Results). (C) Astrocyte ω across representative brain regions (region × region matrix; warmer colors, higher ω). (D) Region-associated candidate detection: multiplicative residual model identifies 39 Strong candidates (residual &lt; 0.3, ω &lt; 15, lowest ω in pair) among 31,764 cross-region comparisons, shown as tier counts as a percentage of all pairs. (E)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ω distribution per cell class (log scale; boxes: median and IQR, whiskers 1.5× IQR), from the block-shuffle observed landscape. (C) ω vs. number of regions (n_regions) per cell type, with Spearman ρ reported; broader spatial distribution is associated with greater transcriptomic divergence. (D) Region-region ω matrix for astrocytes across representative brain regions. (E) Top region-associated candidates (Strong tier) by 1 − residual.</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microglia contribute the largest share (16 of 39), followed by oligodendrocytes (10) and fibroblasts (6); the candidate list is dominated by microglia, while the oligodendrocyte lineage as a whole shows no enrichment (12 of 39 versus a 40.2% share of comparisons; fold 0.77, P = 0.92). Because no candidate survives FDR correction (minimum q = 0.520), these counts describe a hypothesis-generating screen rather than validated region-association events. (C) Top 10 Strong candidates (lowest multiplicative residuals), showing observed ω for each cell-type/region pair; bars are colored by oligodendrocyte-lineage (purple) vs. non-OL (red) membership. 12/39 Strong-tier candidates are oligodendrocyte-lineage (fold enrichment 0.77, P = 0.92); microglia account for 16/39 (fold 2.30 versus their share of comparisons, P = 6.0e-4, but fold 0.31 versus the null-rule composition—see Results; no class-composition claim is made). (D) Region-associated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w:t>
      </w:r>
    </w:p>
    <w:p>
      <w:pPr>
        <w:spacing w:line="276" w:lineRule="auto" w:after="80"/>
        <w:ind w:firstLine="0"/>
      </w:pPr>
      <w:r>
        <w:rPr>
          <w:rFonts w:ascii="Arial" w:hAnsi="Arial"/>
          <w:b w:val="0"/>
          <w:i w:val="0"/>
          <w:color w:val="000000"/>
          <w:sz w:val="22"/>
        </w:rPr>
        <w:t>Supplementary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92.89%). (B) Scatter plot of ω computed with per-pair k_n vs. global k_n (Spearman ρ = 0.181), indicating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6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20"/>
        </w:rPr>
        <w:t>Lopez,R., Regier,J., Cole,M.B., Jordan,M.I. and Yosef,N. (2018) Deep generative modeling for single-cell transcriptomics. *Nat. Methods*, **15**, 1053–1058.</w:t>
      </w:r>
    </w:p>
    <w:p>
      <w:pPr>
        <w:spacing w:line="276" w:lineRule="auto" w:after="6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20"/>
        </w:rPr>
        <w:t>Yang,Z. (2007) PAML 4: phylogenetic analysis by maximum likelihood. *Mol. Biol. Evol.*, **24**, 1586–1591.</w:t>
      </w:r>
    </w:p>
    <w:p>
      <w:pPr>
        <w:spacing w:line="276" w:lineRule="auto" w:after="60"/>
      </w:pPr>
      <w:r>
        <w:rPr>
          <w:rFonts w:ascii="Arial" w:hAnsi="Arial"/>
          <w:color w:val="000000"/>
          <w:sz w:val="20"/>
        </w:rPr>
        <w:t>Tabula Muris Consortium (2018) Single-cell transcriptomics of 20 mouse organs creates a Tabula Muris. *Nature*, **562**, 367–372.</w:t>
      </w:r>
    </w:p>
    <w:p>
      <w:pPr>
        <w:spacing w:line="276" w:lineRule="auto" w:after="60"/>
      </w:pPr>
      <w:r>
        <w:rPr>
          <w:rFonts w:ascii="Arial" w:hAnsi="Arial"/>
          <w:color w:val="000000"/>
          <w:sz w:val="20"/>
        </w:rPr>
        <w:t>Tabula Sapiens Consortium (2022) The Tabula Sapiens: a multiple-organ, single-cell transcriptomic atlas of humans. *Science*, **376**, eabl4896.</w:t>
      </w:r>
    </w:p>
    <w:p>
      <w:pPr>
        <w:spacing w:line="276" w:lineRule="auto" w:after="60"/>
      </w:pPr>
      <w:r>
        <w:rPr>
          <w:rFonts w:ascii="Arial" w:hAnsi="Arial"/>
          <w:color w:val="000000"/>
          <w:sz w:val="20"/>
        </w:rPr>
        <w:t>Cancer Genome Atlas Research Network (2014) Comprehensive molecular profiling of lung adenocarcinoma. *Nature*, **511**, 543–550.</w:t>
      </w:r>
    </w:p>
    <w:p>
      <w:pPr>
        <w:spacing w:line="276" w:lineRule="auto" w:after="60"/>
      </w:pPr>
      <w:r>
        <w:rPr>
          <w:rFonts w:ascii="Arial" w:hAnsi="Arial"/>
          <w:color w:val="000000"/>
          <w:sz w:val="20"/>
        </w:rPr>
        <w:t>Cancer Genome Atlas Network (2012) Comprehensive molecular portraits of human breast tumours. *Nature*, **490**, 61–70.</w:t>
      </w:r>
    </w:p>
    <w:p>
      <w:pPr>
        <w:spacing w:line="276" w:lineRule="auto" w:after="6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20"/>
        </w:rPr>
        <w:t>Luecken,M.D. and Theis,F.J. (2019) Current best practices in single-cell RNA-seq analysis: a tutorial. *Mol. Syst. Biol.*, **15**, e8746.</w:t>
      </w:r>
    </w:p>
    <w:p>
      <w:pPr>
        <w:spacing w:line="276" w:lineRule="auto" w:after="60"/>
      </w:pPr>
      <w:r>
        <w:rPr>
          <w:rFonts w:ascii="Arial" w:hAnsi="Arial"/>
          <w:color w:val="000000"/>
          <w:sz w:val="20"/>
        </w:rPr>
        <w:t>Hounkpe,B.W., Chenou,F., de Lima,F. and De Paula,E.V.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20"/>
        </w:rPr>
        <w:t>Lin,J. (1991) Divergence measures based on the Shannon entropy. *IEEE Trans. Inf. Theory*, **37**, 145–151.</w:t>
      </w:r>
    </w:p>
    <w:p>
      <w:pPr>
        <w:spacing w:line="276" w:lineRule="auto" w:after="60"/>
      </w:pPr>
      <w:r>
        <w:rPr>
          <w:rFonts w:ascii="Arial" w:hAnsi="Arial"/>
          <w:color w:val="000000"/>
          <w:sz w:val="20"/>
        </w:rPr>
        <w:t>Benjamini,Y. and Hochberg,Y. (1995) Controlling the false discovery rate: a practical and powerful approach to multiple testing. *J. R. Stat. Soc. Series B Stat. Methodol.*, **57**, 289–300.</w:t>
      </w:r>
    </w:p>
    <w:p>
      <w:pPr>
        <w:spacing w:line="276" w:lineRule="auto" w:after="60"/>
      </w:pPr>
      <w:r>
        <w:rPr>
          <w:rFonts w:ascii="Arial" w:hAnsi="Arial"/>
          <w:color w:val="000000"/>
          <w:sz w:val="20"/>
        </w:rPr>
        <w:t>Wolf,F.A., Angerer,P. and Theis,F.J. (2018) SCANPY: large-scale single-cell gene expression data analysis. *Genome Biol.*, **19**, 15.</w:t>
      </w:r>
    </w:p>
    <w:p>
      <w:pPr>
        <w:spacing w:line="276" w:lineRule="auto" w:after="6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20"/>
        </w:rPr>
        <w:t>Edmondson,H.A. and Steiner,P.E. (1954) Primary carcinoma of the liver: a study of 100 cases among 48,900 necropsies. *Cancer*, **7**, 462–503.</w:t>
      </w:r>
    </w:p>
    <w:p>
      <w:pPr>
        <w:spacing w:line="276" w:lineRule="auto" w:after="60"/>
      </w:pPr>
      <w:r>
        <w:rPr>
          <w:rFonts w:ascii="Arial" w:hAnsi="Arial"/>
          <w:color w:val="000000"/>
          <w:sz w:val="20"/>
        </w:rPr>
        <w:t>Waskom,M.L. (2021) seaborn: statistical data visualization. *J. Open Source Softw.*, **6**, 3021.</w:t>
      </w:r>
    </w:p>
    <w:p>
      <w:pPr>
        <w:spacing w:line="276" w:lineRule="auto" w:after="60"/>
      </w:pPr>
      <w:r>
        <w:rPr>
          <w:rFonts w:ascii="Arial" w:hAnsi="Arial"/>
          <w:color w:val="000000"/>
          <w:sz w:val="20"/>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20"/>
        </w:rPr>
        <w:t>Efron,B. and Tibshirani,R.J. (1994) An Introduction to the Bootstrap. Chapman and Hall/CRC, New York.</w:t>
      </w:r>
    </w:p>
    <w:p>
      <w:pPr>
        <w:spacing w:line="276" w:lineRule="auto" w:after="6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20"/>
        </w:rPr>
        <w:t>Tan,Y.L., Yuan,Y. and Tian,L. (2020) Microglial regional heterogeneity and its role in the brain. *Mol. Psychiatry*, **25**, 351–367.</w:t>
      </w:r>
    </w:p>
    <w:p>
      <w:pPr>
        <w:spacing w:line="276" w:lineRule="auto" w:after="60"/>
      </w:pPr>
      <w:r>
        <w:rPr>
          <w:rFonts w:ascii="Arial" w:hAnsi="Arial"/>
          <w:color w:val="000000"/>
          <w:sz w:val="20"/>
        </w:rPr>
        <w:t>Shemer,A. and Jung,S. (2024) The molecular determinants of microglial developmental colonization. *Nat. Rev. Neurosci.*, **25**, 414–427.</w:t>
      </w:r>
    </w:p>
    <w:p>
      <w:pPr>
        <w:spacing w:line="276" w:lineRule="auto" w:after="6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20"/>
        </w:rPr>
        <w:t>Reeber,S.L., Arancillo,M. and Sillitoe,R.V. (2015) Bergmann glia are patterned into topographic molecular zones in the cerebellum. *Cerebellum*, **14**, 392–403.</w:t>
      </w:r>
    </w:p>
    <w:p>
      <w:pPr>
        <w:spacing w:line="276" w:lineRule="auto" w:after="6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20"/>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20"/>
        </w:rPr>
        <w:t>Marques,S., Zeisel,A., Codeluppi,S., van Bruggen,D., Mendanha Falcão,A., Xiao,L., Li,H., Häring,M., Hochgerner,H., Romanov,R.A. et al. (2016) Oligodendrocyte heterogeneity in the mouse juvenile and adult central nervous system. *Science*, **352**, 1326–1329.</w:t>
      </w:r>
    </w:p>
    <w:p>
      <w:pPr>
        <w:spacing w:line="276" w:lineRule="auto" w:after="60"/>
      </w:pPr>
      <w:r>
        <w:rPr>
          <w:rFonts w:ascii="Arial" w:hAnsi="Arial"/>
          <w:color w:val="000000"/>
          <w:sz w:val="20"/>
        </w:rPr>
        <w:t>Spitzer,S.O., Sitnikov,S., Kamen,Y., Evans,K.A., Kronenberg-Versteeg,D., Dietmann,S., de Faria,O., Agathou,S. and Káradóttir,R.T. (2019) Oligodendrocyte progenitor cells become regionally diverse and heterogeneous with age. *Neuron*, **101**, 459–471.e5.</w:t>
      </w:r>
    </w:p>
    <w:p>
      <w:pPr>
        <w:spacing w:line="276" w:lineRule="auto" w:after="60"/>
      </w:pPr>
      <w:r>
        <w:rPr>
          <w:rFonts w:ascii="Arial" w:hAnsi="Arial"/>
          <w:color w:val="000000"/>
          <w:sz w:val="20"/>
        </w:rPr>
        <w:t>Waxman,S. and Wurmbach,E. (2007) De-regulation of common housekeeping genes in hepatocellular carcinoma. *BMC Genomics*, **8**, 243.</w:t>
      </w:r>
    </w:p>
    <w:p>
      <w:pPr>
        <w:spacing w:line="276" w:lineRule="auto" w:after="6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20"/>
        </w:rPr>
        <w:t>Liberzon,A., Birger,C., Thorvaldsdóttir,H., Ghandi,M., Mesirov,J.P. and Tamayo,P. (2015) The Molecular Signatures Database Hallmark Gene Set Collection. *Cell Syst.*, **1**, 417–425.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