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pPr>
      <w:r>
        <w:rPr>
          <w:rFonts w:ascii="Arial" w:hAnsi="Arial"/>
          <w:b/>
          <w:color w:val="000000"/>
          <w:sz w:val="22"/>
        </w:rPr>
        <w:t xml:space="preserve">Background. </w:t>
      </w:r>
      <w:r>
        <w:rPr>
          <w:rFonts w:ascii="Arial" w:hAnsi="Arial"/>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w:t>
      </w:r>
    </w:p>
    <w:p>
      <w:pPr>
        <w:spacing w:line="276" w:lineRule="auto" w:after="80"/>
      </w:pPr>
      <w:r>
        <w:rPr>
          <w:rFonts w:ascii="Arial" w:hAnsi="Arial"/>
          <w:b/>
          <w:color w:val="000000"/>
          <w:sz w:val="22"/>
        </w:rPr>
        <w:t xml:space="preserve">Results. </w:t>
      </w:r>
      <w:r>
        <w:rPr>
          <w:rFonts w:ascii="Arial" w:hAnsi="Arial"/>
          <w:color w:val="000000"/>
          <w:sz w:val="22"/>
        </w:rPr>
        <w:t>In ground-truth simulation, ω alone rejected neutral housekeeping drift (false-positive rate 0.00, versus 0.55–0.58 for raw JS and cosine) and ranked first for functional-versus-neutral discrimination (AUC = 0.80), at the cost of bounded power and blindness to anchor-located signal; the low false-positive rate is no anchoring artifact, staying ≤ 0.067 under expression-matched non-housekeeping drift (raw JS and cosine at moderate-to-strong drift: 0.81–1.00). We evaluated CKI on mouse, human, pan-cancer (TCGA; exploratory), and brain datasets. Calibration established an equivalent-population baseline (ω = 7.70, 95% CI [7.37, 8.02]). CKI ω correlated negatively with all standard distance metrics (Spearman r = −0.36 to −0.46), partly a k_n-denominator artifact. Brain analysis indicated a 6.10-fold regional differentiation gradient across 10 non-neuronal classes—an upper bound inflated by class-size imbalance (equal-n downsampling: 1.74 [1.64, 1.84])—predominantly k_n-driven (3.21-fold k_n versus 2.03-fold k_f); under a block-shuffle null, four of ten classes showed significant regional structure (three after FDR correction), but no pair survived correction. Per-pair gene selection inflates k_f (median 1.6-fold) but preserves rankings (ρ ≈ 0.92).</w:t>
      </w:r>
    </w:p>
    <w:p>
      <w:pPr>
        <w:spacing w:line="276" w:lineRule="auto" w:after="80"/>
      </w:pPr>
      <w:r>
        <w:rPr>
          <w:rFonts w:ascii="Arial" w:hAnsi="Arial"/>
          <w:b/>
          <w:color w:val="000000"/>
          <w:sz w:val="22"/>
        </w:rPr>
        <w:t xml:space="preserve">Conclusions. </w:t>
      </w:r>
      <w:r>
        <w:rPr>
          <w:rFonts w:ascii="Arial" w:hAnsi="Arial"/>
          <w:color w:val="000000"/>
          <w:sz w:val="22"/>
        </w:rPr>
        <w:t>CKI provides an interpretable, baseline-normalized index of cell-state divergence whose rankings are robust to gene-panel choice, with a practical window of ~50–200 cells per donor per condition, and is freely available as an open-source package.</w:t>
      </w:r>
    </w:p>
    <w:p>
      <w:pPr>
        <w:jc w:val="center"/>
      </w:pPr>
      <w:r>
        <w:rPr>
          <w:rFonts w:ascii="Arial" w:hAnsi="Arial"/>
          <w:color w:val="000000"/>
          <w:sz w:val="20"/>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S3;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S4).</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S5).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S6;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[56],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[38]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[39] was limited by the small number of directly comparable cell types: across the 15 shared cell types, per-cell-type mean ω rankings showed no significant cross-species correlation (Spearman r = −0.17, P = 0.55; Additional file 1: Fig. S11),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[40,41],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[38],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[48]: five cancer types from NCI Genomic Data Commons, accessed via TCGAbiolinks [49] and cBioPortal [50]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1.3; Additional file 2). All analyses were performed in Python 3.14.4 with scanpy 1.12.1 [45], scipy ≥ 1.10.0, numpy ≥ 1.23.0, pandas ≥ 1.5.0, matplotlib ≥ 3.6.0, seaborn [51] ≥ 0.12.0, and scikit-learn [52]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[53]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[54].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[55]. 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2019;16:1289-96.</w:t>
      </w:r>
    </w:p>
    <w:p>
      <w:pPr>
        <w:spacing w:line="276" w:lineRule="auto" w:after="60"/>
      </w:pPr>
      <w:r>
        <w:rPr>
          <w:rFonts w:ascii="Arial" w:hAnsi="Arial"/>
          <w:color w:val="000000"/>
          <w:sz w:val="20"/>
        </w:rPr>
        <w:t>3. Lopez R, Regier J, Cole MB, Jordan MI, Yosef N. Deep generative modeling for single-cell transcriptomics. Nat Methods. 2018;15:1053-8.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1986;3:418-26.</w:t>
      </w:r>
    </w:p>
    <w:p>
      <w:pPr>
        <w:spacing w:line="276" w:lineRule="auto" w:after="60"/>
      </w:pPr>
      <w:r>
        <w:rPr>
          <w:rFonts w:ascii="Arial" w:hAnsi="Arial"/>
          <w:color w:val="000000"/>
          <w:sz w:val="20"/>
        </w:rPr>
        <w:t>7. Yang Z. PAML 4: phylogenetic analysis by maximum likelihood. Mol Biol Evol. 2007;24:1586-91.</w:t>
      </w:r>
    </w:p>
    <w:p>
      <w:pPr>
        <w:spacing w:line="276" w:lineRule="auto" w:after="60"/>
      </w:pPr>
      <w:r>
        <w:rPr>
          <w:rFonts w:ascii="Arial" w:hAnsi="Arial"/>
          <w:color w:val="000000"/>
          <w:sz w:val="20"/>
        </w:rPr>
        <w:t>8. Tabula Muris Consortium. Single-cell transcriptomics of 20 mouse organs creates a Tabula Muris. Nature. 2018;562:367-72.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2023;382:eadd7046.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2024;632:603-13.</w:t>
      </w:r>
    </w:p>
    <w:p>
      <w:pPr>
        <w:spacing w:line="276" w:lineRule="auto" w:after="60"/>
      </w:pPr>
      <w:r>
        <w:rPr>
          <w:rFonts w:ascii="Arial" w:hAnsi="Arial"/>
          <w:color w:val="000000"/>
          <w:sz w:val="20"/>
        </w:rPr>
        <w:t>19. Pfau SJ, Langen UH, Fisher TM, Prakash I, Nagpurwala F, Lozoya RA, et al. Characteristics of blood-brain barrier heterogeneity between brain regions revealed by profiling vascular and perivascular cells. Nat Neurosci. 2024;27:1892-903.</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on the mouse cerebral vasculature. Development. 2023;150:dev201805.</w:t>
      </w:r>
    </w:p>
    <w:p>
      <w:pPr>
        <w:spacing w:line="276" w:lineRule="auto" w:after="60"/>
      </w:pPr>
      <w:r>
        <w:rPr>
          <w:rFonts w:ascii="Arial" w:hAnsi="Arial"/>
          <w:color w:val="000000"/>
          <w:sz w:val="20"/>
        </w:rPr>
        <w:t>21. Tan YL, Yuan Y, Tian L. Microglial regional heterogeneity and its role in the brain. Mol Psychiatry. 2020;25:351-67.</w:t>
      </w:r>
    </w:p>
    <w:p>
      <w:pPr>
        <w:spacing w:line="276" w:lineRule="auto" w:after="60"/>
      </w:pPr>
      <w:r>
        <w:rPr>
          <w:rFonts w:ascii="Arial" w:hAnsi="Arial"/>
          <w:color w:val="000000"/>
          <w:sz w:val="20"/>
        </w:rPr>
        <w:t>22. Barry-Carroll L, Gomez-Nicola D. The molecular determinants of microglial developmental dynamics. Nat Rev Neurosci. 2024;25:414-27.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following allometric scaling.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2016;351:379-84.</w:t>
      </w:r>
    </w:p>
    <w:p>
      <w:pPr>
        <w:spacing w:line="276" w:lineRule="auto" w:after="60"/>
      </w:pPr>
      <w:r>
        <w:rPr>
          <w:rFonts w:ascii="Arial" w:hAnsi="Arial"/>
          <w:color w:val="000000"/>
          <w:sz w:val="20"/>
        </w:rPr>
        <w:t>26. Su Y, Wang X, Yang Y, Chen L, Xia W, Hoi KK, et al. Astrocyte endfoot formation controls the termination of oligodendrocyte precursor cell perivascular migration during development. Neuron. 2023;111:190-201.e8.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2024;27:1545-54.</w:t>
      </w:r>
    </w:p>
    <w:p>
      <w:pPr>
        <w:spacing w:line="276" w:lineRule="auto" w:after="60"/>
      </w:pPr>
      <w:r>
        <w:rPr>
          <w:rFonts w:ascii="Arial" w:hAnsi="Arial"/>
          <w:color w:val="000000"/>
          <w:sz w:val="20"/>
        </w:rPr>
        <w:t>28. Reeber SL, Arancillo M, Sillitoe RV. Bergmann glia are patterned into topographic molecular zones in the developing and adult mouse cerebellum. Cerebellum. 2018;17:392-403.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2024;10:22.</w:t>
      </w:r>
    </w:p>
    <w:p>
      <w:pPr>
        <w:spacing w:line="276" w:lineRule="auto" w:after="60"/>
      </w:pPr>
      <w:r>
        <w:rPr>
          <w:rFonts w:ascii="Arial" w:hAnsi="Arial"/>
          <w:color w:val="000000"/>
          <w:sz w:val="20"/>
        </w:rPr>
        <w:t>30. Zhang Y, Li D, Cai Y, Zou R, Zhang Y, Deng X, et al. Astrocyte allocation during brain development is controlled by Tcf4-mediated fate restriction. EMBO J. 2024;43:5114-40.</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2013;29:569-74.</w:t>
      </w:r>
    </w:p>
    <w:p>
      <w:pPr>
        <w:spacing w:line="276" w:lineRule="auto" w:after="60"/>
      </w:pPr>
      <w:r>
        <w:rPr>
          <w:rFonts w:ascii="Arial" w:hAnsi="Arial"/>
          <w:color w:val="000000"/>
          <w:sz w:val="20"/>
        </w:rPr>
        <w:t>33. Elowitz MB, Levine AJ, Siggia ED, Swain PS. Stochastic gene expression in a single cell. Science. 2002;297:1183-6.</w:t>
      </w:r>
    </w:p>
    <w:p>
      <w:pPr>
        <w:spacing w:line="276" w:lineRule="auto" w:after="60"/>
      </w:pPr>
      <w:r>
        <w:rPr>
          <w:rFonts w:ascii="Arial" w:hAnsi="Arial"/>
          <w:color w:val="000000"/>
          <w:sz w:val="20"/>
        </w:rPr>
        <w:t>34. Newman JRS, Ghaemmaghami S, Ihmels J, Breslow DK, Noble M, DeRisi JL, et al. Single-cell proteomic analysis of S. cerevisiae reveals the architecture of biological noise. Nature. 2006;441:840-6.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Waxman S, Wurmbach E. De-regulation of common housekeeping genes in hepatocellular carcinoma. BMC Genomics. 2007;8:243.</w:t>
      </w:r>
    </w:p>
    <w:p>
      <w:pPr>
        <w:spacing w:line="276" w:lineRule="auto" w:after="60"/>
      </w:pPr>
      <w:r>
        <w:rPr>
          <w:rFonts w:ascii="Arial" w:hAnsi="Arial"/>
          <w:color w:val="000000"/>
          <w:sz w:val="20"/>
        </w:rPr>
        <w:t>39. Bakken TE, Jorstad NL, Hu Q, Lake BB, Tian W, Kalmbach BE, et al. Comparative cellular analysis of motor cortex in human, marmoset and mouse. Nature. 2021;598:111-9.</w:t>
      </w:r>
    </w:p>
    <w:p>
      <w:pPr>
        <w:spacing w:line="276" w:lineRule="auto" w:after="60"/>
      </w:pPr>
      <w:r>
        <w:rPr>
          <w:rFonts w:ascii="Arial" w:hAnsi="Arial"/>
          <w:color w:val="000000"/>
          <w:sz w:val="20"/>
        </w:rPr>
        <w:t>40. Marques S, Zeisel A, Codeluppi S, van Bruggen D, Mendanha Falcão A, Xiao L, et al. Oligodendrocyte heterogeneity in the mouse juvenile and adult central nervous system. Science. 2016;352:1326-9.</w:t>
      </w:r>
    </w:p>
    <w:p>
      <w:pPr>
        <w:spacing w:line="276" w:lineRule="auto" w:after="60"/>
      </w:pPr>
      <w:r>
        <w:rPr>
          <w:rFonts w:ascii="Arial" w:hAnsi="Arial"/>
          <w:color w:val="000000"/>
          <w:sz w:val="20"/>
        </w:rPr>
        <w:t>41. Spitzer SO, Sitnikov S, Kamen Y, Evans KA, Kronenberg-Versteeg D, Dietmann S, et al. Oligodendrocyte progenitor cells become regionally diverse and heterogeneous with age. Neuron. 2019;101:459-71.e5.</w:t>
      </w:r>
    </w:p>
    <w:p>
      <w:pPr>
        <w:spacing w:line="276" w:lineRule="auto" w:after="60"/>
      </w:pPr>
      <w:r>
        <w:rPr>
          <w:rFonts w:ascii="Arial" w:hAnsi="Arial"/>
          <w:color w:val="000000"/>
          <w:sz w:val="20"/>
        </w:rPr>
        <w:t>42. Luecken MD, Theis FJ. Current best practices in single-cell RNA-seq analysis: a tutorial. Mol Syst Biol. 2019;15:e8746.</w:t>
      </w:r>
    </w:p>
    <w:p>
      <w:pPr>
        <w:spacing w:line="276" w:lineRule="auto" w:after="60"/>
      </w:pPr>
      <w:r>
        <w:rPr>
          <w:rFonts w:ascii="Arial" w:hAnsi="Arial"/>
          <w:color w:val="000000"/>
          <w:sz w:val="20"/>
        </w:rPr>
        <w:t>43. Lin J. Divergence measures based on the Shannon entropy. IEEE Trans Inf Theory. 1991;37:145-51.</w:t>
      </w:r>
    </w:p>
    <w:p>
      <w:pPr>
        <w:spacing w:line="276" w:lineRule="auto" w:after="60"/>
      </w:pPr>
      <w:r>
        <w:rPr>
          <w:rFonts w:ascii="Arial" w:hAnsi="Arial"/>
          <w:color w:val="000000"/>
          <w:sz w:val="20"/>
        </w:rPr>
        <w:t>44.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45. Wolf FA, Angerer P, Theis FJ. SCANPY: large-scale single-cell gene expression data analysis. Genome Biol. 2018;19:15.</w:t>
      </w:r>
    </w:p>
    <w:p>
      <w:pPr>
        <w:spacing w:line="276" w:lineRule="auto" w:after="60"/>
      </w:pPr>
      <w:r>
        <w:rPr>
          <w:rFonts w:ascii="Arial" w:hAnsi="Arial"/>
          <w:color w:val="000000"/>
          <w:sz w:val="20"/>
        </w:rPr>
        <w:t>46. Hao Y, Hao S, Andersen-Nissen E, Mauck WM 3rd, Zheng S, Butler A, et al. Integrated analysis of multimodal single-cell data. Cell. 2021;184:3573-87.</w:t>
      </w:r>
    </w:p>
    <w:p>
      <w:pPr>
        <w:spacing w:line="276" w:lineRule="auto" w:after="60"/>
      </w:pPr>
      <w:r>
        <w:rPr>
          <w:rFonts w:ascii="Arial" w:hAnsi="Arial"/>
          <w:color w:val="000000"/>
          <w:sz w:val="20"/>
        </w:rPr>
        <w:t>47.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48. Weinstein JN, Collisson EA, Mills GB, Shaw KR, Ozenberger BA, Ellrott K, et al. The Cancer Genome Atlas Pan-Cancer analysis project. Nat Genet. 2013;45:1113-20.</w:t>
      </w:r>
    </w:p>
    <w:p>
      <w:pPr>
        <w:spacing w:line="276" w:lineRule="auto" w:after="60"/>
      </w:pPr>
      <w:r>
        <w:rPr>
          <w:rFonts w:ascii="Arial" w:hAnsi="Arial"/>
          <w:color w:val="000000"/>
          <w:sz w:val="20"/>
        </w:rPr>
        <w:t>49.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50. Cerami E, Gao J, Dogrusoz U, Gross BE, Sumer SO, Aksoy BA, et al. The cBio cancer genomics portal: an open platform for exploring multidimensional cancer genomics data. Cancer Discov. 2012;2:401-4.</w:t>
      </w:r>
    </w:p>
    <w:p>
      <w:pPr>
        <w:spacing w:line="276" w:lineRule="auto" w:after="60"/>
      </w:pPr>
      <w:r>
        <w:rPr>
          <w:rFonts w:ascii="Arial" w:hAnsi="Arial"/>
          <w:color w:val="000000"/>
          <w:sz w:val="20"/>
        </w:rPr>
        <w:t>51. Waskom ML. seaborn: statistical data visualization. J Open Source Softw. 2021;6:3021.</w:t>
      </w:r>
    </w:p>
    <w:p>
      <w:pPr>
        <w:spacing w:line="276" w:lineRule="auto" w:after="60"/>
      </w:pPr>
      <w:r>
        <w:rPr>
          <w:rFonts w:ascii="Arial" w:hAnsi="Arial"/>
          <w:color w:val="000000"/>
          <w:sz w:val="20"/>
        </w:rPr>
        <w:t>52. Pedregosa F, Varoquaux G, Gramfort A, Michel V, Thirion B, Grisel O, et al. Scikit-learn: machine learning in Python. J Mach Learn Res. 2011;12:2825-30.</w:t>
      </w:r>
    </w:p>
    <w:p>
      <w:pPr>
        <w:spacing w:line="276" w:lineRule="auto" w:after="60"/>
      </w:pPr>
      <w:r>
        <w:rPr>
          <w:rFonts w:ascii="Arial" w:hAnsi="Arial"/>
          <w:color w:val="000000"/>
          <w:sz w:val="20"/>
        </w:rPr>
        <w:t>53. Efron B, Tibshirani RJ. An Introduction to the Bootstrap. New York: Chapman and Hall/CRC; 1994.</w:t>
      </w:r>
    </w:p>
    <w:p>
      <w:pPr>
        <w:spacing w:line="276" w:lineRule="auto" w:after="60"/>
      </w:pPr>
      <w:r>
        <w:rPr>
          <w:rFonts w:ascii="Arial" w:hAnsi="Arial"/>
          <w:color w:val="000000"/>
          <w:sz w:val="20"/>
        </w:rPr>
        <w:t>54.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55. Liberzon A, Birger C, Thorvaldsdóttir H, Ghandi M, Mesirov JP, Tamayo P. The Molecular Signatures Database Hallmark Gene Set Collection. Cell Syst. 2015;1:417-25.</w:t>
      </w:r>
    </w:p>
    <w:p>
      <w:pPr>
        <w:spacing w:line="276" w:lineRule="auto" w:after="60"/>
      </w:pPr>
      <w:r>
        <w:rPr>
          <w:rFonts w:ascii="Arial" w:hAnsi="Arial"/>
          <w:color w:val="000000"/>
          <w:sz w:val="20"/>
        </w:rPr>
        <w:t>56. Skinnider MA, Squair JW, Kathe C, Anderson MA, Gautier M, et al. Cell type prioritization in single-cell data. Nat Biotechnol. 2021;39:30-4.</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S4.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Additional file 1: Figure S11.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