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Ka/Ks-inspired index for quantifying functional cell-type divergence in single-cell transcriptomics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pPr>
      <w:r>
        <w:rPr>
          <w:rFonts w:ascii="Arial" w:hAnsi="Arial"/>
          <w:b/>
          <w:color w:val="000000"/>
          <w:sz w:val="22"/>
        </w:rPr>
        <w:t xml:space="preserve">Background. </w:t>
      </w:r>
      <w:r>
        <w:rPr>
          <w:rFonts w:ascii="Arial" w:hAnsi="Arial"/>
          <w:color w:val="000000"/>
          <w:sz w:val="22"/>
        </w:rP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w:t>
      </w:r>
    </w:p>
    <w:p>
      <w:pPr>
        <w:spacing w:line="276" w:lineRule="auto" w:after="80"/>
      </w:pPr>
      <w:r>
        <w:rPr>
          <w:rFonts w:ascii="Arial" w:hAnsi="Arial"/>
          <w:b/>
          <w:color w:val="000000"/>
          <w:sz w:val="22"/>
        </w:rPr>
        <w:t xml:space="preserve">Results. </w:t>
      </w:r>
      <w:r>
        <w:rPr>
          <w:rFonts w:ascii="Arial" w:hAnsi="Arial"/>
          <w:color w:val="000000"/>
          <w:sz w:val="22"/>
        </w:rPr>
        <w:t>In ground-truth simulation, ω alone rejected neutral housekeeping drift (false-positive rate 0.00, versus 0.55–0.58 for raw JS and cosine) and ranked first for functional-versus-neutral discrimination (AUC = 0.80), at the cost of bounded power and blindness to anchor-located signal; the low false-positive rate is no anchoring artifact, staying ≤ 0.067 under expression-matched non-housekeeping drift (raw JS and cosine at moderate-to-strong drift: 0.81–1.00). We evaluated CKI on mouse, human, pan-cancer (TCGA; exploratory), and brain datasets. Calibration established an equivalent-population baseline (ω = 7.70, 95% CI [7.37, 8.02]). CKI ω correlated negatively with all standard distance metrics (Spearman r = −0.36 to −0.46), partly a k_n-denominator artifact. Brain analysis indicated a 6.10-fold regional differentiation gradient across 10 non-neuronal classes—an upper bound inflated by class-size imbalance (equal-n downsampling: 1.74 [1.64, 1.84])—predominantly k_n-driven (3.21-fold k_n versus 2.03-fold k_f); under a block-shuffle null, four of ten classes showed significant regional structure (three after FDR correction), but no pair survived correction. Per-pair gene selection inflates k_f (median 1.6-fold) but preserves rankings (ρ ≈ 0.92).</w:t>
      </w:r>
    </w:p>
    <w:p>
      <w:pPr>
        <w:spacing w:line="276" w:lineRule="auto" w:after="80"/>
      </w:pPr>
      <w:r>
        <w:rPr>
          <w:rFonts w:ascii="Arial" w:hAnsi="Arial"/>
          <w:b/>
          <w:color w:val="000000"/>
          <w:sz w:val="22"/>
        </w:rPr>
        <w:t xml:space="preserve">Conclusions. </w:t>
      </w:r>
      <w:r>
        <w:rPr>
          <w:rFonts w:ascii="Arial" w:hAnsi="Arial"/>
          <w:color w:val="000000"/>
          <w:sz w:val="22"/>
        </w:rPr>
        <w:t>CKI provides an interpretable, baseline-normalized index of cell-state divergence whose rankings are robust to gene-panel choice, with a practical window of ~50–200 cells per donor per condition, and is freely available as an open-source package.</w:t>
      </w:r>
    </w:p>
    <w:p>
      <w:pPr>
        <w:jc w:val="center"/>
      </w:pPr>
      <w:r>
        <w:rPr>
          <w:rFonts w:ascii="Arial" w:hAnsi="Arial"/>
          <w:color w:val="000000"/>
          <w:sz w:val="20"/>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Background</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Additional file 1: Fig.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Additional file 1: Fig. S1; Additional file 1: Table S1).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[13] (mouse ortholog column). For the full pairwise matrix (703 pairs, Additional file 1: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Fig. S2),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Fig. S12; Additional file 1: Note 3.15).</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Additional file 1: Fig. S3).</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Additional file 1: Note 3.16.</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Of the 4,851 Tabula Sapiens cell-type pairs, 59 are same-cell-type cross-organ comparisons, which ask which cell types maintain their identity regardless of residence and which are shaped by their organ environment (Fig. 5; Table 2; Additional file 1: Fig. S4).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Additional file 1: Table S2),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Additional file 1: Fig. S5; Additional file 1: Table S3).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(Additional file 1: Fig. S6).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Fig. S7).</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(Additional file 1: Table S4). Under the block-shuffle null (B = 1,000; Additional file 1: Fig. S8),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Fig. S13).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We also compared CKI with Augur [56],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[38]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[39] was limited by the small number of directly comparable cell types: across the 15 shared cell types, per-cell-type mean ω rankings showed no significant cross-species correlation (Spearman r = −0.17, P = 0.55; Additional file 1: Fig. S9),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[40,41],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When to use CKI versus standard metrics</w:t>
      </w:r>
    </w:p>
    <w:p>
      <w:pPr>
        <w:spacing w:line="276" w:lineRule="auto" w:after="80"/>
        <w:ind w:firstLine="0"/>
      </w:pPr>
      <w:r>
        <w:rPr>
          <w:rFonts w:ascii="Arial" w:hAnsi="Arial"/>
          <w:b w:val="0"/>
          <w:i w:val="0"/>
          <w:color w:val="000000"/>
          <w:sz w:val="22"/>
        </w:rPr>
        <w:t>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(Kang et al. [14];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(Additional file 1: Fig. S12).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Fig. S10),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[38],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Fig.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Fig. S13).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pStyle w:val="Heading1"/>
        <w:spacing w:before="420" w:after="160"/>
      </w:pPr>
      <w:r>
        <w:rPr>
          <w:rFonts w:ascii="Arial" w:hAnsi="Arial"/>
          <w:color w:val="000000"/>
          <w:sz w:val="28"/>
          <w:b/>
        </w:rPr>
        <w:t>Conclusions</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Fig. S11).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[48]: five cancer types from NCI Genomic Data Commons, accessed via TCGAbiolinks [49] and cBioPortal [50]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LIHC Edmondson grade [15]: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Additional file 1: Note 3.12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1.3; Additional file 2). All analyses were performed in Python 3.14.4 with scanpy 1.12.1 [45], scipy ≥ 1.10.0, numpy ≥ 1.23.0, pandas ≥ 1.5.0, matplotlib ≥ 3.6.0, seaborn [51] ≥ 0.12.0, and scikit-learn [52]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Resampling-based inference [53]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List of abbreviations</w:t>
      </w:r>
    </w:p>
    <w:p>
      <w:pPr>
        <w:spacing w:line="276" w:lineRule="auto" w:after="80"/>
        <w:ind w:firstLine="0"/>
      </w:pPr>
      <w:r>
        <w:rPr>
          <w:rFonts w:ascii="Arial" w:hAnsi="Arial"/>
          <w:b w:val="0"/>
          <w:i w:val="0"/>
          <w:color w:val="000000"/>
          <w:sz w:val="22"/>
        </w:rP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pPr>
        <w:pStyle w:val="Heading1"/>
        <w:spacing w:before="420" w:after="160"/>
      </w:pPr>
      <w:r>
        <w:rPr>
          <w:rFonts w:ascii="Arial" w:hAnsi="Arial"/>
          <w:color w:val="000000"/>
          <w:sz w:val="28"/>
          <w:b/>
        </w:rPr>
        <w:t>Declarations</w:t>
      </w:r>
    </w:p>
    <w:p>
      <w:pPr>
        <w:pStyle w:val="Heading2"/>
        <w:spacing w:before="420" w:after="160"/>
      </w:pPr>
      <w:r>
        <w:rPr>
          <w:rFonts w:ascii="Arial" w:hAnsi="Arial"/>
          <w:color w:val="000000"/>
          <w:sz w:val="24"/>
          <w:b/>
        </w:rPr>
        <w:t>Ethics approval and consent to participate</w:t>
      </w:r>
    </w:p>
    <w:p>
      <w:pPr>
        <w:spacing w:line="276" w:lineRule="auto" w:after="80"/>
        <w:ind w:firstLine="0"/>
      </w:pPr>
      <w:r>
        <w:rPr>
          <w:rFonts w:ascii="Arial" w:hAnsi="Arial"/>
          <w:b w:val="0"/>
          <w:i w:val="0"/>
          <w:color w:val="000000"/>
          <w:sz w:val="22"/>
        </w:rPr>
        <w:t>Not applicable. This study analysed only publicly available, de-identified datasets and did not involve human participants, human tissue, or animals.</w:t>
      </w:r>
    </w:p>
    <w:p>
      <w:pPr>
        <w:pStyle w:val="Heading2"/>
        <w:spacing w:before="420" w:after="160"/>
      </w:pPr>
      <w:r>
        <w:rPr>
          <w:rFonts w:ascii="Arial" w:hAnsi="Arial"/>
          <w:color w:val="000000"/>
          <w:sz w:val="24"/>
          <w:b/>
        </w:rPr>
        <w:t>Consent for publication</w:t>
      </w:r>
    </w:p>
    <w:p>
      <w:pPr>
        <w:spacing w:line="276" w:lineRule="auto" w:after="80"/>
        <w:ind w:firstLine="0"/>
      </w:pPr>
      <w:r>
        <w:rPr>
          <w:rFonts w:ascii="Arial" w:hAnsi="Arial"/>
          <w:b w:val="0"/>
          <w:i w:val="0"/>
          <w:color w:val="000000"/>
          <w:sz w:val="22"/>
        </w:rPr>
        <w:t>Not applicable.</w:t>
      </w:r>
    </w:p>
    <w:p>
      <w:pPr>
        <w:pStyle w:val="Heading2"/>
        <w:spacing w:before="420" w:after="160"/>
      </w:pPr>
      <w:r>
        <w:rPr>
          <w:rFonts w:ascii="Arial" w:hAnsi="Arial"/>
          <w:color w:val="000000"/>
          <w:sz w:val="24"/>
          <w:b/>
        </w:rPr>
        <w:t>Availability of data and materials</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[54].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[55]. The CKI source code (v0.5.0) is publicly available at https://github.com/zhanglknt/CKI-cell-type-identification (tag v0.5.0) under the MIT License. A permanent archival copy has been deposited at Zenodo (concept DOI: 10.5281/zenodo.20405458; version DOI for v0.4.9: 10.5281/zenodo.22333850).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2"/>
        <w:spacing w:before="420" w:after="160"/>
      </w:pPr>
      <w:r>
        <w:rPr>
          <w:rFonts w:ascii="Arial" w:hAnsi="Arial"/>
          <w:color w:val="000000"/>
          <w:sz w:val="24"/>
          <w:b/>
        </w:rPr>
        <w:t>Competing interests</w:t>
      </w:r>
    </w:p>
    <w:p>
      <w:pPr>
        <w:spacing w:line="276" w:lineRule="auto" w:after="80"/>
        <w:ind w:firstLine="0"/>
      </w:pPr>
      <w:r>
        <w:rPr>
          <w:rFonts w:ascii="Arial" w:hAnsi="Arial"/>
          <w:b w:val="0"/>
          <w:i w:val="0"/>
          <w:color w:val="000000"/>
          <w:sz w:val="22"/>
        </w:rPr>
        <w:t>The authors declare that they have no competing interests.</w:t>
      </w:r>
    </w:p>
    <w:p>
      <w:pPr>
        <w:pStyle w:val="Heading2"/>
        <w:spacing w:before="420" w:after="160"/>
      </w:pPr>
      <w:r>
        <w:rPr>
          <w:rFonts w:ascii="Arial" w:hAnsi="Arial"/>
          <w:color w:val="000000"/>
          <w:sz w:val="24"/>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2"/>
        <w:spacing w:before="420" w:after="160"/>
      </w:pPr>
      <w:r>
        <w:rPr>
          <w:rFonts w:ascii="Arial" w:hAnsi="Arial"/>
          <w:color w:val="000000"/>
          <w:sz w:val="24"/>
          <w:b/>
        </w:rPr>
        <w:t>Authors'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2"/>
        <w:spacing w:before="420" w:after="160"/>
      </w:pPr>
      <w:r>
        <w:rPr>
          <w:rFonts w:ascii="Arial" w:hAnsi="Arial"/>
          <w:color w:val="000000"/>
          <w:sz w:val="24"/>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Additional files</w:t>
      </w:r>
    </w:p>
    <w:p>
      <w:pPr>
        <w:spacing w:line="276" w:lineRule="auto" w:after="80"/>
        <w:ind w:firstLine="0"/>
      </w:pPr>
      <w:r>
        <w:rPr>
          <w:rFonts w:ascii="Arial" w:hAnsi="Arial"/>
          <w:b w:val="0"/>
          <w:i w:val="0"/>
          <w:color w:val="000000"/>
          <w:sz w:val="22"/>
        </w:rPr>
        <w:t>Additional file 1: CKI supplementary notes. Format: DOCX. Title: CKI: Supplementary Notes. Description: extended methods and supplementary analyses, including Supplementary Figures S1–S13 and Supplementary Tables S1–S4.</w:t>
      </w:r>
    </w:p>
    <w:p>
      <w:pPr>
        <w:spacing w:line="276" w:lineRule="auto" w:after="80"/>
        <w:ind w:firstLine="0"/>
      </w:pPr>
      <w:r>
        <w:rPr>
          <w:rFonts w:ascii="Arial" w:hAnsi="Arial"/>
          <w:b w:val="0"/>
          <w:i w:val="0"/>
          <w:color w:val="000000"/>
          <w:sz w:val="22"/>
        </w:rPr>
        <w:t>Additional file 2: CKI Reproducibility Guide. Format: DOCX. Title: CKI Reproducibility Guide. Description: step-by-step instructions, verified computational environment, and spot-check values for reproducing all analyses, figures, and tables reported in this work.</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Additional file 1: Supplementary figure legends</w:t>
      </w:r>
    </w:p>
    <w:p>
      <w:pPr>
        <w:spacing w:line="276" w:lineRule="auto" w:after="80"/>
        <w:ind w:firstLine="0"/>
      </w:pPr>
      <w:r>
        <w:rPr>
          <w:rFonts w:ascii="Arial" w:hAnsi="Arial"/>
          <w:b w:val="0"/>
          <w:i w:val="0"/>
          <w:color w:val="000000"/>
          <w:sz w:val="22"/>
        </w:rPr>
        <w:t>Additional file 1: Figure S1.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Additional file 1: Figure S2.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Additional file 1: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Additional file 1: Figure S4.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Additional file 1: Figure S5.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Additional file 1: Figure S6.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Additional file 1: Figure S7.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Additional file 1: Figure S8.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Additional file 1: Figure S9.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Additional file 1: Figure S10.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Additional file 1: Figure S11.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Additional file 1: Figure S12.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Additional file 1: Figure S13.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1. Regev A, Teichmann SA, Lander ES, Amit I, Benoist C, Birney E, et al. The Human Cell Atlas. eLife. 2017;6:e27041.</w:t>
      </w:r>
    </w:p>
    <w:p>
      <w:pPr>
        <w:spacing w:line="276" w:lineRule="auto" w:after="60"/>
      </w:pPr>
      <w:r>
        <w:rPr>
          <w:rFonts w:ascii="Arial" w:hAnsi="Arial"/>
          <w:color w:val="000000"/>
          <w:sz w:val="20"/>
        </w:rPr>
        <w:t>2. Korsunsky I, Millard N, Fan J, Slowikowski K, Zhang F, Wei K, et al. Fast, sensitive and accurate integration of single-cell data with Harmony. Nat. Methods. 2019;16:1289-1296.</w:t>
      </w:r>
    </w:p>
    <w:p>
      <w:pPr>
        <w:spacing w:line="276" w:lineRule="auto" w:after="60"/>
      </w:pPr>
      <w:r>
        <w:rPr>
          <w:rFonts w:ascii="Arial" w:hAnsi="Arial"/>
          <w:color w:val="000000"/>
          <w:sz w:val="20"/>
        </w:rPr>
        <w:t>3. Lopez R, Regier J, Cole MB, Jordan MI, Yosef N. Deep generative modeling for single-cell transcriptomics. Nat. Methods. 2018;15:1053-1058.</w:t>
      </w:r>
    </w:p>
    <w:p>
      <w:pPr>
        <w:spacing w:line="276" w:lineRule="auto" w:after="60"/>
      </w:pPr>
      <w:r>
        <w:rPr>
          <w:rFonts w:ascii="Arial" w:hAnsi="Arial"/>
          <w:color w:val="000000"/>
          <w:sz w:val="20"/>
        </w:rPr>
        <w:t>4. Rosen Y, Brbic M, Roohani Y, Swanson K, Li Z, Leskovec J. Toward universal cell embeddings: integrating single-cell RNA-seq datasets across species with SATURN. Nat. Methods. 2024;21:1492-1500.</w:t>
      </w:r>
    </w:p>
    <w:p>
      <w:pPr>
        <w:spacing w:line="276" w:lineRule="auto" w:after="60"/>
      </w:pPr>
      <w:r>
        <w:rPr>
          <w:rFonts w:ascii="Arial" w:hAnsi="Arial"/>
          <w:color w:val="000000"/>
          <w:sz w:val="20"/>
        </w:rPr>
        <w:t>5. Tran HTN, Ang KS, Chevrier M, Zhang X, Lee NYS, Goh M, et al. A benchmark of batch-effect correction methods for single-cell RNA sequencing data. Genome Biol. 2020;21:12.</w:t>
      </w:r>
    </w:p>
    <w:p>
      <w:pPr>
        <w:spacing w:line="276" w:lineRule="auto" w:after="60"/>
      </w:pPr>
      <w:r>
        <w:rPr>
          <w:rFonts w:ascii="Arial" w:hAnsi="Arial"/>
          <w:color w:val="000000"/>
          <w:sz w:val="20"/>
        </w:rPr>
        <w:t>6. Nei M, Gojobori T. Simple methods for estimating the numbers of synonymous and nonsynonymous nucleotide substitutions. Mol. Biol. Evol. 1986;3:418-426.</w:t>
      </w:r>
    </w:p>
    <w:p>
      <w:pPr>
        <w:spacing w:line="276" w:lineRule="auto" w:after="60"/>
      </w:pPr>
      <w:r>
        <w:rPr>
          <w:rFonts w:ascii="Arial" w:hAnsi="Arial"/>
          <w:color w:val="000000"/>
          <w:sz w:val="20"/>
        </w:rPr>
        <w:t>7. Yang Z. PAML 4: phylogenetic analysis by maximum likelihood. Mol. Biol. Evol. 2007;24:1586-1591.</w:t>
      </w:r>
    </w:p>
    <w:p>
      <w:pPr>
        <w:spacing w:line="276" w:lineRule="auto" w:after="60"/>
      </w:pPr>
      <w:r>
        <w:rPr>
          <w:rFonts w:ascii="Arial" w:hAnsi="Arial"/>
          <w:color w:val="000000"/>
          <w:sz w:val="20"/>
        </w:rPr>
        <w:t>8. Tabula Muris Consortium. Single-cell transcriptomics of 20 mouse organs creates a Tabula Muris. Nature. 2018;562:367-372.</w:t>
      </w:r>
    </w:p>
    <w:p>
      <w:pPr>
        <w:spacing w:line="276" w:lineRule="auto" w:after="60"/>
      </w:pPr>
      <w:r>
        <w:rPr>
          <w:rFonts w:ascii="Arial" w:hAnsi="Arial"/>
          <w:color w:val="000000"/>
          <w:sz w:val="20"/>
        </w:rPr>
        <w:t>9. Tabula Sapiens Consortium. The Tabula Sapiens: a multiple-organ, single-cell transcriptomic atlas of humans. Science. 2022;376:eabl4896.</w:t>
      </w:r>
    </w:p>
    <w:p>
      <w:pPr>
        <w:spacing w:line="276" w:lineRule="auto" w:after="60"/>
      </w:pPr>
      <w:r>
        <w:rPr>
          <w:rFonts w:ascii="Arial" w:hAnsi="Arial"/>
          <w:color w:val="000000"/>
          <w:sz w:val="20"/>
        </w:rPr>
        <w:t>10. Cancer Genome Atlas Research Network. Comprehensive molecular profiling of lung adenocarcinoma. Nature. 2014;511:543-550.</w:t>
      </w:r>
    </w:p>
    <w:p>
      <w:pPr>
        <w:spacing w:line="276" w:lineRule="auto" w:after="60"/>
      </w:pPr>
      <w:r>
        <w:rPr>
          <w:rFonts w:ascii="Arial" w:hAnsi="Arial"/>
          <w:color w:val="000000"/>
          <w:sz w:val="20"/>
        </w:rPr>
        <w:t>11. Cancer Genome Atlas Network. Comprehensive molecular portraits of human breast tumours. Nature. 2012;490:61-70.</w:t>
      </w:r>
    </w:p>
    <w:p>
      <w:pPr>
        <w:spacing w:line="276" w:lineRule="auto" w:after="60"/>
      </w:pPr>
      <w:r>
        <w:rPr>
          <w:rFonts w:ascii="Arial" w:hAnsi="Arial"/>
          <w:color w:val="000000"/>
          <w:sz w:val="20"/>
        </w:rPr>
        <w:t>12. Siletti K, Hodge R, Mossi Albiach A, Lee KW, Ding SL, Hu L, et al. Transcriptomic diversity of cell types across the adult human brain. Science. 2023;382:eadl7046.</w:t>
      </w:r>
    </w:p>
    <w:p>
      <w:pPr>
        <w:spacing w:line="276" w:lineRule="auto" w:after="60"/>
      </w:pPr>
      <w:r>
        <w:rPr>
          <w:rFonts w:ascii="Arial" w:hAnsi="Arial"/>
          <w:color w:val="000000"/>
          <w:sz w:val="20"/>
        </w:rPr>
        <w:t>13. Hounkpe BW, Chenou F, de Lima F, De Paula EV. HRT Atlas v1.0 database: redefining human and mouse housekeeping genes and candidate reference transcripts by mining massive RNA-seq datasets. Nucleic Acids Res. 2021;49:D947-D955.</w:t>
      </w:r>
    </w:p>
    <w:p>
      <w:pPr>
        <w:spacing w:line="276" w:lineRule="auto" w:after="60"/>
      </w:pPr>
      <w:r>
        <w:rPr>
          <w:rFonts w:ascii="Arial" w:hAnsi="Arial"/>
          <w:color w:val="000000"/>
          <w:sz w:val="20"/>
        </w:rPr>
        <w:t>14. Kang HM, Subramaniam M, Targ S, Nguyen M, Maliskova L, McCarthy E, et al. Multiplexed droplet single-cell RNA-sequencing using natural genetic variation. Nat. Biotechnol. 2018;36:89-94.</w:t>
      </w:r>
    </w:p>
    <w:p>
      <w:pPr>
        <w:spacing w:line="276" w:lineRule="auto" w:after="60"/>
      </w:pPr>
      <w:r>
        <w:rPr>
          <w:rFonts w:ascii="Arial" w:hAnsi="Arial"/>
          <w:color w:val="000000"/>
          <w:sz w:val="20"/>
        </w:rPr>
        <w:t>15. Edmondson HA, Steiner PE. Primary carcinoma of the liver: a study of 100 cases among 48,900 necropsies. Cancer. 1954;7:462-503.</w:t>
      </w:r>
    </w:p>
    <w:p>
      <w:pPr>
        <w:spacing w:line="276" w:lineRule="auto" w:after="60"/>
      </w:pPr>
      <w:r>
        <w:rPr>
          <w:rFonts w:ascii="Arial" w:hAnsi="Arial"/>
          <w:color w:val="000000"/>
          <w:sz w:val="20"/>
        </w:rPr>
        <w:t>16. Perou CM, Sørlie T, Eisen MB, van de Rijn M, Jeffrey SS, Rees CA, et al. Molecular portraits of human breast tumours. Nature. 2000;406:747-752.</w:t>
      </w:r>
    </w:p>
    <w:p>
      <w:pPr>
        <w:spacing w:line="276" w:lineRule="auto" w:after="60"/>
      </w:pPr>
      <w:r>
        <w:rPr>
          <w:rFonts w:ascii="Arial" w:hAnsi="Arial"/>
          <w:color w:val="000000"/>
          <w:sz w:val="20"/>
        </w:rPr>
        <w:t>17. Parker JS, Mullins M, Cheang MCU, Leung S, Voduc D, Vickery T, et al. Supervised risk predictor of breast cancer based on intrinsic subtypes. J. Clin. Oncol. 2009;27:1160-1167.</w:t>
      </w:r>
    </w:p>
    <w:p>
      <w:pPr>
        <w:spacing w:line="276" w:lineRule="auto" w:after="60"/>
      </w:pPr>
      <w:r>
        <w:rPr>
          <w:rFonts w:ascii="Arial" w:hAnsi="Arial"/>
          <w:color w:val="000000"/>
          <w:sz w:val="20"/>
        </w:rPr>
        <w:t>18. Wälchli T, Ghobrial M, Schwab ME, Takada S, Zhong H, Suntharalingham S, et al. Single-cell atlas of the human brain vasculature across development, adulthood and disease. Nature. 2024;632:603-613.</w:t>
      </w:r>
    </w:p>
    <w:p>
      <w:pPr>
        <w:spacing w:line="276" w:lineRule="auto" w:after="60"/>
      </w:pPr>
      <w:r>
        <w:rPr>
          <w:rFonts w:ascii="Arial" w:hAnsi="Arial"/>
          <w:color w:val="000000"/>
          <w:sz w:val="20"/>
        </w:rPr>
        <w:t>19. Schaffenrath J, Huang SF, Wyss T, Delorenzi M, Keller A. Characteristics of blood-brain barrier heterogeneity between brain regions. Nat. Neurosci. 2024;27:1851-1865.</w:t>
      </w:r>
    </w:p>
    <w:p>
      <w:pPr>
        <w:spacing w:line="276" w:lineRule="auto" w:after="60"/>
      </w:pPr>
      <w:r>
        <w:rPr>
          <w:rFonts w:ascii="Arial" w:hAnsi="Arial"/>
          <w:color w:val="000000"/>
          <w:sz w:val="20"/>
        </w:rPr>
        <w:t>20. Jones HE, Coelho-Santos V, Bonney SK, Abrams SR, Shih AY, Siegenthaler JA. Meningeal origins and dynamics of perivascular fibroblast development. Development. 2023;150:dev201805.</w:t>
      </w:r>
    </w:p>
    <w:p>
      <w:pPr>
        <w:spacing w:line="276" w:lineRule="auto" w:after="60"/>
      </w:pPr>
      <w:r>
        <w:rPr>
          <w:rFonts w:ascii="Arial" w:hAnsi="Arial"/>
          <w:color w:val="000000"/>
          <w:sz w:val="20"/>
        </w:rPr>
        <w:t>21. Tan YL, Yuan Y, Tian L. Microglial regional heterogeneity and its role in the brain. Mol. Psychiatry. 2020;25:351-367.</w:t>
      </w:r>
    </w:p>
    <w:p>
      <w:pPr>
        <w:spacing w:line="276" w:lineRule="auto" w:after="60"/>
      </w:pPr>
      <w:r>
        <w:rPr>
          <w:rFonts w:ascii="Arial" w:hAnsi="Arial"/>
          <w:color w:val="000000"/>
          <w:sz w:val="20"/>
        </w:rPr>
        <w:t>22. Shemer A, Jung S. The molecular determinants of microglial developmental colonization. Nat. Rev. Neurosci. 2024;25:414-427.</w:t>
      </w:r>
    </w:p>
    <w:p>
      <w:pPr>
        <w:spacing w:line="276" w:lineRule="auto" w:after="60"/>
      </w:pPr>
      <w:r>
        <w:rPr>
          <w:rFonts w:ascii="Arial" w:hAnsi="Arial"/>
          <w:color w:val="000000"/>
          <w:sz w:val="20"/>
        </w:rPr>
        <w:t>23. Menassa DA, Muntslag TAO, Martin-Estebané M, Barry-Carroll L, Chapman MA, Adorjan I, et al. The spatiotemporal dynamics of microglia across the human lifespan. Dev. Cell. 2022;57:2127-2139.e6.</w:t>
      </w:r>
    </w:p>
    <w:p>
      <w:pPr>
        <w:spacing w:line="276" w:lineRule="auto" w:after="60"/>
      </w:pPr>
      <w:r>
        <w:rPr>
          <w:rFonts w:ascii="Arial" w:hAnsi="Arial"/>
          <w:color w:val="000000"/>
          <w:sz w:val="20"/>
        </w:rPr>
        <w:t>24. Barry-Carroll L, Greulich P, Marshall AR, Riecken K, Fehse B, Askew KE, et al. Microglia colonize the developing brain by clonal expansion of highly proliferative progenitors. Cell Rep. 2023;42:112425.</w:t>
      </w:r>
    </w:p>
    <w:p>
      <w:pPr>
        <w:spacing w:line="276" w:lineRule="auto" w:after="60"/>
      </w:pPr>
      <w:r>
        <w:rPr>
          <w:rFonts w:ascii="Arial" w:hAnsi="Arial"/>
          <w:color w:val="000000"/>
          <w:sz w:val="20"/>
        </w:rPr>
        <w:t>25. Tsai HH, Niu J, Munji R, Davalos D, Chang J, Zhang H, et al. Oligodendrocyte precursors migrate along vasculature in the developing nervous system. Science. 2016;351:379-384.</w:t>
      </w:r>
    </w:p>
    <w:p>
      <w:pPr>
        <w:spacing w:line="276" w:lineRule="auto" w:after="60"/>
      </w:pPr>
      <w:r>
        <w:rPr>
          <w:rFonts w:ascii="Arial" w:hAnsi="Arial"/>
          <w:color w:val="000000"/>
          <w:sz w:val="20"/>
        </w:rPr>
        <w:t>26. Akay LA, Effenberger AH, Tsai LH. Astrocyte endfoot formation controls the termination of oligodendrocyte precursor cell perivascular migration. Neuron. 2022;111:190-201.e8.</w:t>
      </w:r>
    </w:p>
    <w:p>
      <w:pPr>
        <w:spacing w:line="276" w:lineRule="auto" w:after="60"/>
      </w:pPr>
      <w:r>
        <w:rPr>
          <w:rFonts w:ascii="Arial" w:hAnsi="Arial"/>
          <w:color w:val="000000"/>
          <w:sz w:val="20"/>
        </w:rPr>
        <w:t>27. Foerster S, Floriddia EM, Neumann B, Agirre E, Castelo-Branco G, Franklin RJM. Developmental origin of oligodendrocytes determines their function in the adult brain. Nat. Neurosci. 2024;27:1155-1165.</w:t>
      </w:r>
    </w:p>
    <w:p>
      <w:pPr>
        <w:spacing w:line="276" w:lineRule="auto" w:after="60"/>
      </w:pPr>
      <w:r>
        <w:rPr>
          <w:rFonts w:ascii="Arial" w:hAnsi="Arial"/>
          <w:color w:val="000000"/>
          <w:sz w:val="20"/>
        </w:rPr>
        <w:t>28. Reeber SL, Arancillo M, Sillitoe RV. Bergmann glia are patterned into topographic molecular zones in the cerebellum. Cerebellum. 2015;14:392-403.</w:t>
      </w:r>
    </w:p>
    <w:p>
      <w:pPr>
        <w:spacing w:line="276" w:lineRule="auto" w:after="60"/>
      </w:pPr>
      <w:r>
        <w:rPr>
          <w:rFonts w:ascii="Arial" w:hAnsi="Arial"/>
          <w:color w:val="000000"/>
          <w:sz w:val="20"/>
        </w:rPr>
        <w:t>29. Yang L, Zhao Z, Li Y, Wang J, Chen X, Liu Z. Single-cell multi-omics analysis of lineage development and spatial organization in the human fetal cerebellum. Cell Discov. 2024;10:25.</w:t>
      </w:r>
    </w:p>
    <w:p>
      <w:pPr>
        <w:spacing w:line="276" w:lineRule="auto" w:after="60"/>
      </w:pPr>
      <w:r>
        <w:rPr>
          <w:rFonts w:ascii="Arial" w:hAnsi="Arial"/>
          <w:color w:val="000000"/>
          <w:sz w:val="20"/>
        </w:rPr>
        <w:t>30. Endo F, Kasai A, Cui W, Tanaka KF, Hashimoto H. Astrocyte allocation during brain development is controlled by Tcf4-mediated fate restriction. EMBO J. 2024;43:4423-4447.</w:t>
      </w:r>
    </w:p>
    <w:p>
      <w:pPr>
        <w:spacing w:line="276" w:lineRule="auto" w:after="60"/>
      </w:pPr>
      <w:r>
        <w:rPr>
          <w:rFonts w:ascii="Arial" w:hAnsi="Arial"/>
          <w:color w:val="000000"/>
          <w:sz w:val="20"/>
        </w:rPr>
        <w:t>31. Vandesompele J, De Preter K, Pattyn F, Poppe B, Van Roy N, De Paepe A, et al. Accurate normalization of real-time quantitative RT-PCR data by geometric averaging of multiple internal control genes. Genome Biol. 2002;3:RESEARCH0034.</w:t>
      </w:r>
    </w:p>
    <w:p>
      <w:pPr>
        <w:spacing w:line="276" w:lineRule="auto" w:after="60"/>
      </w:pPr>
      <w:r>
        <w:rPr>
          <w:rFonts w:ascii="Arial" w:hAnsi="Arial"/>
          <w:color w:val="000000"/>
          <w:sz w:val="20"/>
        </w:rPr>
        <w:t>32. Eisenberg E, Levanon EY. Human housekeeping genes, revisited. Trends Genet. 2013;29:569-574.</w:t>
      </w:r>
    </w:p>
    <w:p>
      <w:pPr>
        <w:spacing w:line="276" w:lineRule="auto" w:after="60"/>
      </w:pPr>
      <w:r>
        <w:rPr>
          <w:rFonts w:ascii="Arial" w:hAnsi="Arial"/>
          <w:color w:val="000000"/>
          <w:sz w:val="20"/>
        </w:rPr>
        <w:t>33. Elowitz MB, Levine AJ, Siggia ED, Swain PS. Stochastic gene expression in a single cell. Science. 2002;297:1183-1186.</w:t>
      </w:r>
    </w:p>
    <w:p>
      <w:pPr>
        <w:spacing w:line="276" w:lineRule="auto" w:after="60"/>
      </w:pPr>
      <w:r>
        <w:rPr>
          <w:rFonts w:ascii="Arial" w:hAnsi="Arial"/>
          <w:color w:val="000000"/>
          <w:sz w:val="20"/>
        </w:rPr>
        <w:t>34. Newman JRS, Ghaemmaghami S, Ihmels J, Breslow DK, Noble M, DeRisi JL, et al. Single-cell proteomic and transcriptomic analyses reveal lower intrinsic noise in human cells. Nature. 2006;441:810-816.</w:t>
      </w:r>
    </w:p>
    <w:p>
      <w:pPr>
        <w:spacing w:line="276" w:lineRule="auto" w:after="60"/>
      </w:pPr>
      <w:r>
        <w:rPr>
          <w:rFonts w:ascii="Arial" w:hAnsi="Arial"/>
          <w:color w:val="000000"/>
          <w:sz w:val="20"/>
        </w:rPr>
        <w:t>35. Raj A, van Oudenaarden A. Nature, nurture, or chance: stochastic gene expression variation and its consequences on individual cellular fitness. Cell. 2008;135:216-226.</w:t>
      </w:r>
    </w:p>
    <w:p>
      <w:pPr>
        <w:spacing w:line="276" w:lineRule="auto" w:after="60"/>
      </w:pPr>
      <w:r>
        <w:rPr>
          <w:rFonts w:ascii="Arial" w:hAnsi="Arial"/>
          <w:color w:val="000000"/>
          <w:sz w:val="20"/>
        </w:rPr>
        <w:t>36. Tarashansky AJ, Musser JM, Khariton M, Li P, Arendt D, Quake SR, et al. Mapping single-cell atlases throughout Metazoa unravels cell type evolution. eLife. 2021;10:e66747.</w:t>
      </w:r>
    </w:p>
    <w:p>
      <w:pPr>
        <w:spacing w:line="276" w:lineRule="auto" w:after="60"/>
      </w:pPr>
      <w:r>
        <w:rPr>
          <w:rFonts w:ascii="Arial" w:hAnsi="Arial"/>
          <w:color w:val="000000"/>
          <w:sz w:val="20"/>
        </w:rPr>
        <w:t>37. Jiang J, Li J, Huang Y, Wang Y, Chen L, Zhang X. CACIMAR: cross-species analysis of cell identities, markers, regulations, and interactions. Brief. Bioinform. 2024;25:bbae283.</w:t>
      </w:r>
    </w:p>
    <w:p>
      <w:pPr>
        <w:spacing w:line="276" w:lineRule="auto" w:after="60"/>
      </w:pPr>
      <w:r>
        <w:rPr>
          <w:rFonts w:ascii="Arial" w:hAnsi="Arial"/>
          <w:color w:val="000000"/>
          <w:sz w:val="20"/>
        </w:rPr>
        <w:t>38. Waxman S, Wurmbach E. De-regulation of common housekeeping genes in hepatocellular carcinoma. BMC Genomics. 2007;8:243.</w:t>
      </w:r>
    </w:p>
    <w:p>
      <w:pPr>
        <w:spacing w:line="276" w:lineRule="auto" w:after="60"/>
      </w:pPr>
      <w:r>
        <w:rPr>
          <w:rFonts w:ascii="Arial" w:hAnsi="Arial"/>
          <w:color w:val="000000"/>
          <w:sz w:val="20"/>
        </w:rPr>
        <w:t>39. Bakken TE, Jorstad NL, Hu Q, Lake BB, Tian W, Kalmbach BE, et al. Comparative cellular analysis of motor cortex in human, marmoset and mouse. Nature. 2021;598:111-119.</w:t>
      </w:r>
    </w:p>
    <w:p>
      <w:pPr>
        <w:spacing w:line="276" w:lineRule="auto" w:after="60"/>
      </w:pPr>
      <w:r>
        <w:rPr>
          <w:rFonts w:ascii="Arial" w:hAnsi="Arial"/>
          <w:color w:val="000000"/>
          <w:sz w:val="20"/>
        </w:rPr>
        <w:t>40. Marques S, Zeisel A, Codeluppi S, van Bruggen D, Mendanha Falcão A, Xiao L, et al. Oligodendrocyte heterogeneity in the mouse juvenile and adult central nervous system. Science. 2016;352:1326-1329.</w:t>
      </w:r>
    </w:p>
    <w:p>
      <w:pPr>
        <w:spacing w:line="276" w:lineRule="auto" w:after="60"/>
      </w:pPr>
      <w:r>
        <w:rPr>
          <w:rFonts w:ascii="Arial" w:hAnsi="Arial"/>
          <w:color w:val="000000"/>
          <w:sz w:val="20"/>
        </w:rPr>
        <w:t>41. Spitzer SO, Sitnikov S, Kamen Y, Evans KA, Kronenberg-Versteeg D, Dietmann S, et al. Oligodendrocyte progenitor cells become regionally diverse and heterogeneous with age. Neuron. 2019;101:459-471.e5.</w:t>
      </w:r>
    </w:p>
    <w:p>
      <w:pPr>
        <w:spacing w:line="276" w:lineRule="auto" w:after="60"/>
      </w:pPr>
      <w:r>
        <w:rPr>
          <w:rFonts w:ascii="Arial" w:hAnsi="Arial"/>
          <w:color w:val="000000"/>
          <w:sz w:val="20"/>
        </w:rPr>
        <w:t>42. Luecken MD, Theis FJ. Current best practices in single-cell RNA-seq analysis: a tutorial. Mol. Syst. Biol. 2019;15:e8746.</w:t>
      </w:r>
    </w:p>
    <w:p>
      <w:pPr>
        <w:spacing w:line="276" w:lineRule="auto" w:after="60"/>
      </w:pPr>
      <w:r>
        <w:rPr>
          <w:rFonts w:ascii="Arial" w:hAnsi="Arial"/>
          <w:color w:val="000000"/>
          <w:sz w:val="20"/>
        </w:rPr>
        <w:t>43. Lin J. Divergence measures based on the Shannon entropy. IEEE Trans. Inf. Theory. 1991;37:145-151.</w:t>
      </w:r>
    </w:p>
    <w:p>
      <w:pPr>
        <w:spacing w:line="276" w:lineRule="auto" w:after="60"/>
      </w:pPr>
      <w:r>
        <w:rPr>
          <w:rFonts w:ascii="Arial" w:hAnsi="Arial"/>
          <w:color w:val="000000"/>
          <w:sz w:val="20"/>
        </w:rPr>
        <w:t>44. Benjamini Y, Hochberg Y. Controlling the false discovery rate: a practical and powerful approach to multiple testing. J. R. Stat. Soc. Series B Stat. Methodol. 1995;57:289-300.</w:t>
      </w:r>
    </w:p>
    <w:p>
      <w:pPr>
        <w:spacing w:line="276" w:lineRule="auto" w:after="60"/>
      </w:pPr>
      <w:r>
        <w:rPr>
          <w:rFonts w:ascii="Arial" w:hAnsi="Arial"/>
          <w:color w:val="000000"/>
          <w:sz w:val="20"/>
        </w:rPr>
        <w:t>45. Wolf FA, Angerer P, Theis FJ. SCANPY: large-scale single-cell gene expression data analysis. Genome Biol. 2018;19:15.</w:t>
      </w:r>
    </w:p>
    <w:p>
      <w:pPr>
        <w:spacing w:line="276" w:lineRule="auto" w:after="60"/>
      </w:pPr>
      <w:r>
        <w:rPr>
          <w:rFonts w:ascii="Arial" w:hAnsi="Arial"/>
          <w:color w:val="000000"/>
          <w:sz w:val="20"/>
        </w:rPr>
        <w:t>46. Hao Y, Hao S, Andersen-Nissen E, Mauck WM 3rd, Zheng S, Butler A, et al. Integrated analysis of multimodal single-cell data. Cell. 2021;184:3573-3587.</w:t>
      </w:r>
    </w:p>
    <w:p>
      <w:pPr>
        <w:spacing w:line="276" w:lineRule="auto" w:after="60"/>
      </w:pPr>
      <w:r>
        <w:rPr>
          <w:rFonts w:ascii="Arial" w:hAnsi="Arial"/>
          <w:color w:val="000000"/>
          <w:sz w:val="20"/>
        </w:rPr>
        <w:t>47. Hao Y, Stuart T, Kowalski MH, Choudhary S, Hoffman P, Hartman A, et al. Dictionary learning for integrative, multimodal and scalable single-cell analysis. Nat. Biotechnol. 2024;42:293-304.</w:t>
      </w:r>
    </w:p>
    <w:p>
      <w:pPr>
        <w:spacing w:line="276" w:lineRule="auto" w:after="60"/>
      </w:pPr>
      <w:r>
        <w:rPr>
          <w:rFonts w:ascii="Arial" w:hAnsi="Arial"/>
          <w:color w:val="000000"/>
          <w:sz w:val="20"/>
        </w:rPr>
        <w:t>48. Weinstein JN, Collisson EA, Mills GB, Shaw KR, Ozenberger BA, Ellrott K, et al. The Cancer Genome Atlas Pan-Cancer analysis project. Nat. Genet. 2013;45:1113-1120.</w:t>
      </w:r>
    </w:p>
    <w:p>
      <w:pPr>
        <w:spacing w:line="276" w:lineRule="auto" w:after="60"/>
      </w:pPr>
      <w:r>
        <w:rPr>
          <w:rFonts w:ascii="Arial" w:hAnsi="Arial"/>
          <w:color w:val="000000"/>
          <w:sz w:val="20"/>
        </w:rPr>
        <w:t>49. Colaprico A, Silva TC, Olsen C, Garofano L, Cava C, Garolini D, et al. TCGAbiolinks: an R/Bioconductor package for integrative analysis of TCGA data. Nucleic Acids Res. 2016;44:e71.</w:t>
      </w:r>
    </w:p>
    <w:p>
      <w:pPr>
        <w:spacing w:line="276" w:lineRule="auto" w:after="60"/>
      </w:pPr>
      <w:r>
        <w:rPr>
          <w:rFonts w:ascii="Arial" w:hAnsi="Arial"/>
          <w:color w:val="000000"/>
          <w:sz w:val="20"/>
        </w:rPr>
        <w:t>50. Cerami E, Gao J, Dogrusoz U, Gross BE, Sumer SO, Aksoy BA, et al. The cBio cancer genomics portal: an open platform for exploring multidimensional cancer genomics data. Cancer Discov. 2012;2:401-404.</w:t>
      </w:r>
    </w:p>
    <w:p>
      <w:pPr>
        <w:spacing w:line="276" w:lineRule="auto" w:after="60"/>
      </w:pPr>
      <w:r>
        <w:rPr>
          <w:rFonts w:ascii="Arial" w:hAnsi="Arial"/>
          <w:color w:val="000000"/>
          <w:sz w:val="20"/>
        </w:rPr>
        <w:t>51. Waskom ML. seaborn: statistical data visualization. J. Open Source Softw. 2021;6:3021.</w:t>
      </w:r>
    </w:p>
    <w:p>
      <w:pPr>
        <w:spacing w:line="276" w:lineRule="auto" w:after="60"/>
      </w:pPr>
      <w:r>
        <w:rPr>
          <w:rFonts w:ascii="Arial" w:hAnsi="Arial"/>
          <w:color w:val="000000"/>
          <w:sz w:val="20"/>
        </w:rPr>
        <w:t>52. Pedregosa F, Varoquaux G, Gramfort A, Michel V, Thirion B, Grisel O, et al. Scikit-learn: machine learning in Python. J. Mach. Learn. Res. 2011;12:2825-2830.</w:t>
      </w:r>
    </w:p>
    <w:p>
      <w:pPr>
        <w:spacing w:line="276" w:lineRule="auto" w:after="60"/>
      </w:pPr>
      <w:r>
        <w:rPr>
          <w:rFonts w:ascii="Arial" w:hAnsi="Arial"/>
          <w:color w:val="000000"/>
          <w:sz w:val="20"/>
        </w:rPr>
        <w:t>53. Efron B, Tibshirani RJ. An Introduction to the Bootstrap. New York: Chapman and Hall/CRC; 1994.</w:t>
      </w:r>
    </w:p>
    <w:p>
      <w:pPr>
        <w:spacing w:line="276" w:lineRule="auto" w:after="60"/>
      </w:pPr>
      <w:r>
        <w:rPr>
          <w:rFonts w:ascii="Arial" w:hAnsi="Arial"/>
          <w:color w:val="000000"/>
          <w:sz w:val="20"/>
        </w:rPr>
        <w:t>54. CZI Cell Science Program. CZ CELLxGENE Discover: a single-cell data platform for scalable exploration, analysis and modeling of aggregated data. Nucleic Acids Res. 2025;53:D886-D900.</w:t>
      </w:r>
    </w:p>
    <w:p>
      <w:pPr>
        <w:spacing w:line="276" w:lineRule="auto" w:after="60"/>
      </w:pPr>
      <w:r>
        <w:rPr>
          <w:rFonts w:ascii="Arial" w:hAnsi="Arial"/>
          <w:color w:val="000000"/>
          <w:sz w:val="20"/>
        </w:rPr>
        <w:t>55. Liberzon A, Birger C, Thorvaldsdóttir H, Ghandi M, Mesirov JP, Tamayo P. The Molecular Signatures Database Hallmark Gene Set Collection. Cell Syst. 2015;1:417-425.</w:t>
      </w:r>
    </w:p>
    <w:p>
      <w:pPr>
        <w:spacing w:line="276" w:lineRule="auto" w:after="60"/>
      </w:pPr>
      <w:r>
        <w:rPr>
          <w:rFonts w:ascii="Arial" w:hAnsi="Arial"/>
          <w:color w:val="000000"/>
          <w:sz w:val="20"/>
        </w:rPr>
        <w:t>56. Skinnider MA, Squair JW, Kathe C, Anderson MA, Gautier M, et al. Cell type prioritization in single-cell data. Nat. Biotechnol. 2021;39:30-34.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