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Ka/Ks-inspired index for quantifying functional cell-type divergence in single-cell transcriptomics</w:t>
      </w:r>
    </w:p>
    <w:p>
      <w:r>
        <w:rPr>
          <w:rFonts w:ascii="Arial" w:hAnsi="Arial"/>
          <w:b w:val="0"/>
          <w:color w:val="000000"/>
          <w:sz w:val="22"/>
        </w:rPr>
        <w:t>Xianming Wu (1), Li Zhang (1,2,*)</w:t>
      </w:r>
    </w:p>
    <w:p>
      <w:r>
        <w:rPr>
          <w:rFonts w:ascii="Arial" w:hAnsi="Arial"/>
          <w:b w:val="0"/>
          <w:color w:val="000000"/>
          <w:sz w:val="22"/>
        </w:rPr>
        <w:t>(1) Chinese Institute for Brain Research, Beijing, China</w:t>
      </w:r>
    </w:p>
    <w:p>
      <w:r>
        <w:rPr>
          <w:rFonts w:ascii="Arial" w:hAnsi="Arial"/>
          <w:b w:val="0"/>
          <w:color w:val="000000"/>
          <w:sz w:val="22"/>
        </w:rPr>
        <w:t>(2) Institute of Blood Transfusion, Chinese Academy of Medical Sciences &amp; Peking Union Medical College, Chengdu,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Note 5: Post-hoc Coherence Checks (Brain Set-Level Enrichment and TCGA Composition Sensitivity)</w:t>
      </w:r>
    </w:p>
    <w:p>
      <w:r>
        <w:rPr>
          <w:rFonts w:ascii="Arial" w:hAnsi="Arial"/>
          <w:b w:val="0"/>
          <w:color w:val="000000"/>
          <w:sz w:val="22"/>
        </w:rPr>
        <w:t>Table S1: Parameter Sweep Results (Phase 3.2)</w:t>
      </w:r>
    </w:p>
    <w:p>
      <w:r>
        <w:rPr>
          <w:rFonts w:ascii="Arial" w:hAnsi="Arial"/>
          <w:b w:val="0"/>
          <w:color w:val="000000"/>
          <w:sz w:val="22"/>
        </w:rPr>
        <w:t>Table S2: Cross-Organ Conservation Data (Phase 3.5)</w:t>
      </w:r>
    </w:p>
    <w:p>
      <w:r>
        <w:rPr>
          <w:rFonts w:ascii="Arial" w:hAnsi="Arial"/>
          <w:b w:val="0"/>
          <w:color w:val="000000"/>
          <w:sz w:val="22"/>
        </w:rPr>
        <w:t>Table S3: Human Brain Non-neuronal Cell Regional CKI Data</w:t>
      </w:r>
    </w:p>
    <w:p>
      <w:r>
        <w:rPr>
          <w:rFonts w:ascii="Arial" w:hAnsi="Arial"/>
          <w:b w:val="0"/>
          <w:color w:val="000000"/>
          <w:sz w:val="22"/>
        </w:rPr>
        <w:t>Table S4: Inter-regional Region-Associated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Note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The authoritative TCGA pipeline (notebooks/06_phase34_v2.py) applies the softmax probability mapping to log2(TPM + 1) values, which is mathematically equivalent to the power transformation p_i ∝ (TPM + 1)^(1/ln 2) (Note 1.1). To verify that this mapping choice does not drive any conclusion, the entire TCGA analysis was re-run with the strictly linear mapping p_i = (TPM + 1)/Σ(TPM + 1), mirroring the authoritative pipeline otherwise (per-cancer streaming gene loading, mean TPM ≥ 0.5 filtering, per-cancer HK mapping, per-pair top-200 |Δ| identity genes ranked on the log2(TPM + 1) representation so that the identity gene sets are unchanged, kn_floor = 1 × 10⁻⁴, seed 42, TT/TN caps of 2,000 pairs). Scripts: notebooks/85_tcga_linear_norm_v44.py (main pipeline and clinical severity) and notebooks/86_tcga_composition_linear_norm_v44.py (composition sensitivity); report: results/tcga_linear_norm_v44_report.md.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 type</w:t>
            </w:r>
          </w:p>
        </w:tc>
        <w:tc>
          <w:tcPr>
            <w:tcW w:type="dxa" w:w="1881"/>
          </w:tcPr>
          <w:p>
            <w:r>
              <w:rPr>
                <w:rFonts w:ascii="Arial" w:hAnsi="Arial"/>
                <w:b/>
                <w:sz w:val="18"/>
              </w:rPr>
              <w:t>TN/baseline ω (softmax)</w:t>
            </w:r>
          </w:p>
        </w:tc>
        <w:tc>
          <w:tcPr>
            <w:tcW w:type="dxa" w:w="1881"/>
          </w:tcPr>
          <w:p>
            <w:r>
              <w:rPr>
                <w:rFonts w:ascii="Arial" w:hAnsi="Arial"/>
                <w:b/>
                <w:sz w:val="18"/>
              </w:rPr>
              <w:t>TN/baseline ω (linear)</w:t>
            </w:r>
          </w:p>
        </w:tc>
        <w:tc>
          <w:tcPr>
            <w:tcW w:type="dxa" w:w="1881"/>
          </w:tcPr>
          <w:p>
            <w:r>
              <w:rPr>
                <w:rFonts w:ascii="Arial" w:hAnsi="Arial"/>
                <w:b/>
                <w:sz w:val="18"/>
              </w:rPr>
              <w:t>NN &gt; TT ω reversal</w:t>
            </w:r>
          </w:p>
        </w:tc>
        <w:tc>
          <w:tcPr>
            <w:tcW w:type="dxa" w:w="1881"/>
          </w:tcPr>
          <w:p>
            <w:r>
              <w:rPr>
                <w:rFonts w:ascii="Arial" w:hAnsi="Arial"/>
                <w:b/>
                <w:sz w:val="18"/>
              </w:rPr>
              <w:t>TT/NN k_n fold (linear)</w:t>
            </w:r>
          </w:p>
        </w:tc>
      </w:tr>
      <w:tr>
        <w:tc>
          <w:tcPr>
            <w:tcW w:type="dxa" w:w="1881"/>
          </w:tcPr>
          <w:p>
            <w:r>
              <w:rPr>
                <w:rFonts w:ascii="Arial" w:hAnsi="Arial"/>
                <w:sz w:val="18"/>
              </w:rPr>
              <w:t>LUAD</w:t>
            </w:r>
          </w:p>
        </w:tc>
        <w:tc>
          <w:tcPr>
            <w:tcW w:type="dxa" w:w="1881"/>
          </w:tcPr>
          <w:p>
            <w:r>
              <w:rPr>
                <w:rFonts w:ascii="Arial" w:hAnsi="Arial"/>
                <w:sz w:val="18"/>
              </w:rPr>
              <w:t>0.65</w:t>
            </w:r>
          </w:p>
        </w:tc>
        <w:tc>
          <w:tcPr>
            <w:tcW w:type="dxa" w:w="1881"/>
          </w:tcPr>
          <w:p>
            <w:r>
              <w:rPr>
                <w:rFonts w:ascii="Arial" w:hAnsi="Arial"/>
                <w:sz w:val="18"/>
              </w:rPr>
              <w:t>0.70</w:t>
            </w:r>
          </w:p>
        </w:tc>
        <w:tc>
          <w:tcPr>
            <w:tcW w:type="dxa" w:w="1881"/>
          </w:tcPr>
          <w:p>
            <w:r>
              <w:rPr>
                <w:rFonts w:ascii="Arial" w:hAnsi="Arial"/>
                <w:sz w:val="18"/>
              </w:rPr>
              <w:t>retained</w:t>
            </w:r>
          </w:p>
        </w:tc>
        <w:tc>
          <w:tcPr>
            <w:tcW w:type="dxa" w:w="1881"/>
          </w:tcPr>
          <w:p>
            <w:r>
              <w:rPr>
                <w:rFonts w:ascii="Arial" w:hAnsi="Arial"/>
                <w:sz w:val="18"/>
              </w:rPr>
              <w:t>2.6×</w:t>
            </w:r>
          </w:p>
        </w:tc>
      </w:tr>
      <w:tr>
        <w:tc>
          <w:tcPr>
            <w:tcW w:type="dxa" w:w="1881"/>
          </w:tcPr>
          <w:p>
            <w:r>
              <w:rPr>
                <w:rFonts w:ascii="Arial" w:hAnsi="Arial"/>
                <w:sz w:val="18"/>
              </w:rPr>
              <w:t>LUSC</w:t>
            </w:r>
          </w:p>
        </w:tc>
        <w:tc>
          <w:tcPr>
            <w:tcW w:type="dxa" w:w="1881"/>
          </w:tcPr>
          <w:p>
            <w:r>
              <w:rPr>
                <w:rFonts w:ascii="Arial" w:hAnsi="Arial"/>
                <w:sz w:val="18"/>
              </w:rPr>
              <w:t>0.67</w:t>
            </w:r>
          </w:p>
        </w:tc>
        <w:tc>
          <w:tcPr>
            <w:tcW w:type="dxa" w:w="1881"/>
          </w:tcPr>
          <w:p>
            <w:r>
              <w:rPr>
                <w:rFonts w:ascii="Arial" w:hAnsi="Arial"/>
                <w:sz w:val="18"/>
              </w:rPr>
              <w:t>0.74</w:t>
            </w:r>
          </w:p>
        </w:tc>
        <w:tc>
          <w:tcPr>
            <w:tcW w:type="dxa" w:w="1881"/>
          </w:tcPr>
          <w:p>
            <w:r>
              <w:rPr>
                <w:rFonts w:ascii="Arial" w:hAnsi="Arial"/>
                <w:sz w:val="18"/>
              </w:rPr>
              <w:t>retained</w:t>
            </w:r>
          </w:p>
        </w:tc>
        <w:tc>
          <w:tcPr>
            <w:tcW w:type="dxa" w:w="1881"/>
          </w:tcPr>
          <w:p>
            <w:r>
              <w:rPr>
                <w:rFonts w:ascii="Arial" w:hAnsi="Arial"/>
                <w:sz w:val="18"/>
              </w:rPr>
              <w:t>2.7×</w:t>
            </w:r>
          </w:p>
        </w:tc>
      </w:tr>
      <w:tr>
        <w:tc>
          <w:tcPr>
            <w:tcW w:type="dxa" w:w="1881"/>
          </w:tcPr>
          <w:p>
            <w:r>
              <w:rPr>
                <w:rFonts w:ascii="Arial" w:hAnsi="Arial"/>
                <w:sz w:val="18"/>
              </w:rPr>
              <w:t>LIHC</w:t>
            </w:r>
          </w:p>
        </w:tc>
        <w:tc>
          <w:tcPr>
            <w:tcW w:type="dxa" w:w="1881"/>
          </w:tcPr>
          <w:p>
            <w:r>
              <w:rPr>
                <w:rFonts w:ascii="Arial" w:hAnsi="Arial"/>
                <w:sz w:val="18"/>
              </w:rPr>
              <w:t>0.78</w:t>
            </w:r>
          </w:p>
        </w:tc>
        <w:tc>
          <w:tcPr>
            <w:tcW w:type="dxa" w:w="1881"/>
          </w:tcPr>
          <w:p>
            <w:r>
              <w:rPr>
                <w:rFonts w:ascii="Arial" w:hAnsi="Arial"/>
                <w:sz w:val="18"/>
              </w:rPr>
              <w:t>0.83</w:t>
            </w:r>
          </w:p>
        </w:tc>
        <w:tc>
          <w:tcPr>
            <w:tcW w:type="dxa" w:w="1881"/>
          </w:tcPr>
          <w:p>
            <w:r>
              <w:rPr>
                <w:rFonts w:ascii="Arial" w:hAnsi="Arial"/>
                <w:sz w:val="18"/>
              </w:rPr>
              <w:t>retained</w:t>
            </w:r>
          </w:p>
        </w:tc>
        <w:tc>
          <w:tcPr>
            <w:tcW w:type="dxa" w:w="1881"/>
          </w:tcPr>
          <w:p>
            <w:r>
              <w:rPr>
                <w:rFonts w:ascii="Arial" w:hAnsi="Arial"/>
                <w:sz w:val="18"/>
              </w:rPr>
              <w:t>2.1×</w:t>
            </w:r>
          </w:p>
        </w:tc>
      </w:tr>
      <w:tr>
        <w:tc>
          <w:tcPr>
            <w:tcW w:type="dxa" w:w="1881"/>
          </w:tcPr>
          <w:p>
            <w:r>
              <w:rPr>
                <w:rFonts w:ascii="Arial" w:hAnsi="Arial"/>
                <w:sz w:val="18"/>
              </w:rPr>
              <w:t>KIRC</w:t>
            </w:r>
          </w:p>
        </w:tc>
        <w:tc>
          <w:tcPr>
            <w:tcW w:type="dxa" w:w="1881"/>
          </w:tcPr>
          <w:p>
            <w:r>
              <w:rPr>
                <w:rFonts w:ascii="Arial" w:hAnsi="Arial"/>
                <w:sz w:val="18"/>
              </w:rPr>
              <w:t>0.74</w:t>
            </w:r>
          </w:p>
        </w:tc>
        <w:tc>
          <w:tcPr>
            <w:tcW w:type="dxa" w:w="1881"/>
          </w:tcPr>
          <w:p>
            <w:r>
              <w:rPr>
                <w:rFonts w:ascii="Arial" w:hAnsi="Arial"/>
                <w:sz w:val="18"/>
              </w:rPr>
              <w:t>0.81</w:t>
            </w:r>
          </w:p>
        </w:tc>
        <w:tc>
          <w:tcPr>
            <w:tcW w:type="dxa" w:w="1881"/>
          </w:tcPr>
          <w:p>
            <w:r>
              <w:rPr>
                <w:rFonts w:ascii="Arial" w:hAnsi="Arial"/>
                <w:sz w:val="18"/>
              </w:rPr>
              <w:t>retained</w:t>
            </w:r>
          </w:p>
        </w:tc>
        <w:tc>
          <w:tcPr>
            <w:tcW w:type="dxa" w:w="1881"/>
          </w:tcPr>
          <w:p>
            <w:r>
              <w:rPr>
                <w:rFonts w:ascii="Arial" w:hAnsi="Arial"/>
                <w:sz w:val="18"/>
              </w:rPr>
              <w:t>3.6×</w:t>
            </w:r>
          </w:p>
        </w:tc>
      </w:tr>
      <w:tr>
        <w:tc>
          <w:tcPr>
            <w:tcW w:type="dxa" w:w="1881"/>
          </w:tcPr>
          <w:p>
            <w:r>
              <w:rPr>
                <w:rFonts w:ascii="Arial" w:hAnsi="Arial"/>
                <w:sz w:val="18"/>
              </w:rPr>
              <w:t>BRCA</w:t>
            </w:r>
          </w:p>
        </w:tc>
        <w:tc>
          <w:tcPr>
            <w:tcW w:type="dxa" w:w="1881"/>
          </w:tcPr>
          <w:p>
            <w:r>
              <w:rPr>
                <w:rFonts w:ascii="Arial" w:hAnsi="Arial"/>
                <w:sz w:val="18"/>
              </w:rPr>
              <w:t>0.78</w:t>
            </w:r>
          </w:p>
        </w:tc>
        <w:tc>
          <w:tcPr>
            <w:tcW w:type="dxa" w:w="1881"/>
          </w:tcPr>
          <w:p>
            <w:r>
              <w:rPr>
                <w:rFonts w:ascii="Arial" w:hAnsi="Arial"/>
                <w:sz w:val="18"/>
              </w:rPr>
              <w:t>0.84</w:t>
            </w:r>
          </w:p>
        </w:tc>
        <w:tc>
          <w:tcPr>
            <w:tcW w:type="dxa" w:w="1881"/>
          </w:tcPr>
          <w:p>
            <w:r>
              <w:rPr>
                <w:rFonts w:ascii="Arial" w:hAnsi="Arial"/>
                <w:sz w:val="18"/>
              </w:rPr>
              <w:t>retained</w:t>
            </w:r>
          </w:p>
        </w:tc>
        <w:tc>
          <w:tcPr>
            <w:tcW w:type="dxa" w:w="1881"/>
          </w:tcPr>
          <w:p>
            <w:r>
              <w:rPr>
                <w:rFonts w:ascii="Arial" w:hAnsi="Arial"/>
                <w:sz w:val="18"/>
              </w:rPr>
              <w:t>2.8×</w:t>
            </w:r>
          </w:p>
        </w:tc>
      </w:tr>
    </w:tbl>
    <w:p>
      <w:r>
        <w:rPr>
          <w:rFonts w:ascii="Arial" w:hAnsi="Arial"/>
          <w:b w:val="0"/>
          <w:color w:val="000000"/>
          <w:sz w:val="22"/>
        </w:rPr>
        <w:t>Table (Note 1.7). Linear-normalization robustness of the TCGA main pipeline. Every qualitative conclusion is preserved: the tumor-normal versus baseline contrast stays significant in all five cancer types (all TN/baseline ω &lt; 1; permutation P = 1 × 10⁻⁴⁹ to 1 × 10⁻¹⁴), with ratios attenuating slightly toward 1; the NN &gt; TT ω reversal is retained in 5 of 5 cancer types with the k_n reversal (TT k_n 2.1–3.6× the NN median) intact; k_n &lt; 1 × 10⁻⁴ floor saturation is &lt; 0.1% under the linear mapping (a single pair of 35,306 at k_n = 8.4 × 10⁻⁵; all other pair-level k_n ≈ 7 × 10⁻⁴ to 6 × 10⁻³), so the floor is not an artifact of the mapping; all three clinical-severity orderings are preserved (full values in Note 3.16); and the composition-sensitivity conclusion is unchanged (pooled tumor-pair coefficient attenuation −0.8%, cluster-bootstrap median −1.2% [95% CI −4.1%, +2.6%]; Note 5.2).</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(Figure S10: ω distribution characterization; Figure S8: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Note 3.18)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(Figure S2.)</w:t>
      </w:r>
    </w:p>
    <w:p>
      <w:r>
        <w:rPr>
          <w:rFonts w:ascii="Arial" w:hAnsi="Arial"/>
          <w:b w:val="0"/>
          <w:color w:val="000000"/>
          <w:sz w:val="22"/>
        </w:rPr>
        <w:t>Small-cluster correction (v45; Note 3.21).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(Figure S11.)</w:t>
      </w:r>
    </w:p>
    <w:p>
      <w:r>
        <w:rPr>
          <w:rFonts w:ascii="Arial" w:hAnsi="Arial"/>
          <w:b/>
          <w:color w:val="000000"/>
          <w:sz w:val="22"/>
        </w:rPr>
        <w:t>3.7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(Figure S6.)</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Table S2. The Spearman correlations between CKI ω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3.11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(Table S1).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3.12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r>
        <w:rPr>
          <w:rFonts w:ascii="Arial" w:hAnsi="Arial"/>
          <w:b/>
          <w:color w:val="000000"/>
          <w:sz w:val="22"/>
        </w:rPr>
        <w:t>3.13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r>
        <w:rPr>
          <w:rFonts w:ascii="Arial" w:hAnsi="Arial"/>
          <w:b/>
          <w:color w:val="000000"/>
          <w:sz w:val="22"/>
        </w:rPr>
        <w:t>3.14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r>
        <w:rPr>
          <w:rFonts w:ascii="Arial" w:hAnsi="Arial"/>
          <w:b/>
          <w:color w:val="000000"/>
          <w:sz w:val="22"/>
        </w:rPr>
        <w:t>3.15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(Fig. S12). Script: notebooks/79_kang_ifnb_demo.py; outputs: results/kang_ifnb_demo_pairs.csv (709 pairs), results/kang_ifnb_demo_summary.json.</w:t>
      </w:r>
    </w:p>
    <w:p>
      <w:r>
        <w:rPr>
          <w:rFonts w:ascii="Arial" w:hAnsi="Arial"/>
          <w:b/>
          <w:color w:val="000000"/>
          <w:sz w:val="22"/>
        </w:rPr>
        <w:t>3.16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v44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10-19). LIHC Edmondson grade: mean ω decreases from G1 to G2 and plateaus (82.4, 74.7, 74.9, 75.0 for G1–G4; Jonckheere-Terpstra P ≈ 0), but k_f increases with grade (JT P = 1.05 × 10⁻¹²)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these gradients only as a one-paragraph exploratory vignette (denominator-dominated); the full values and test details live here. The k_f-only controls are post-hoc; the P-values reported here (three severity analyses crossed with three metrics) are nominal and carry no multiplicity correction. Scripts: notebooks/83_kf_only_ordering.py (published softmax run) and notebooks/85_tcga_linear_norm_v44.py (v44 linear re-analysis); outputs: results/kf_only_ordering.csv, results/kf_only_ordering.json, results/kf_only_severity.csv, results/kf_only_ordering.txt, results/tcga_clinical_severity_v44.csv.</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Stratum</w:t>
            </w:r>
          </w:p>
        </w:tc>
        <w:tc>
          <w:tcPr>
            <w:tcW w:type="dxa" w:w="1568"/>
          </w:tcPr>
          <w:p>
            <w:r>
              <w:rPr>
                <w:rFonts w:ascii="Arial" w:hAnsi="Arial"/>
                <w:b/>
                <w:sz w:val="18"/>
              </w:rPr>
              <w:t>Ordering by mean ω</w:t>
            </w:r>
          </w:p>
        </w:tc>
        <w:tc>
          <w:tcPr>
            <w:tcW w:type="dxa" w:w="1568"/>
          </w:tcPr>
          <w:p>
            <w:r>
              <w:rPr>
                <w:rFonts w:ascii="Arial" w:hAnsi="Arial"/>
                <w:b/>
                <w:sz w:val="18"/>
              </w:rPr>
              <w:t>Mean ω per group</w:t>
            </w:r>
          </w:p>
        </w:tc>
        <w:tc>
          <w:tcPr>
            <w:tcW w:type="dxa" w:w="1568"/>
          </w:tcPr>
          <w:p>
            <w:r>
              <w:rPr>
                <w:rFonts w:ascii="Arial" w:hAnsi="Arial"/>
                <w:b/>
                <w:sz w:val="18"/>
              </w:rPr>
              <w:t>ω omnibus P</w:t>
            </w:r>
          </w:p>
        </w:tc>
        <w:tc>
          <w:tcPr>
            <w:tcW w:type="dxa" w:w="1568"/>
          </w:tcPr>
          <w:p>
            <w:r>
              <w:rPr>
                <w:rFonts w:ascii="Arial" w:hAnsi="Arial"/>
                <w:b/>
                <w:sz w:val="18"/>
              </w:rPr>
              <w:t>k_f P</w:t>
            </w:r>
          </w:p>
        </w:tc>
        <w:tc>
          <w:tcPr>
            <w:tcW w:type="dxa" w:w="1568"/>
          </w:tcPr>
          <w:p>
            <w:r>
              <w:rPr>
                <w:rFonts w:ascii="Arial" w:hAnsi="Arial"/>
                <w:b/>
                <w:sz w:val="18"/>
              </w:rPr>
              <w:t>k_n P</w:t>
            </w:r>
          </w:p>
        </w:tc>
      </w:tr>
      <w:tr>
        <w:tc>
          <w:tcPr>
            <w:tcW w:type="dxa" w:w="1568"/>
          </w:tcPr>
          <w:p>
            <w:r>
              <w:rPr>
                <w:rFonts w:ascii="Arial" w:hAnsi="Arial"/>
                <w:sz w:val="18"/>
              </w:rPr>
              <w:t>LIHC Edmondson grade</w:t>
            </w:r>
          </w:p>
        </w:tc>
        <w:tc>
          <w:tcPr>
            <w:tcW w:type="dxa" w:w="1568"/>
          </w:tcPr>
          <w:p>
            <w:r>
              <w:rPr>
                <w:rFonts w:ascii="Arial" w:hAnsi="Arial"/>
                <w:sz w:val="18"/>
              </w:rPr>
              <w:t>G1 &gt; G2 ≈ G3 ≈ G4</w:t>
            </w:r>
          </w:p>
        </w:tc>
        <w:tc>
          <w:tcPr>
            <w:tcW w:type="dxa" w:w="1568"/>
          </w:tcPr>
          <w:p>
            <w:r>
              <w:rPr>
                <w:rFonts w:ascii="Arial" w:hAnsi="Arial"/>
                <w:sz w:val="18"/>
              </w:rPr>
              <w:t>82.4 / 74.7 / 74.9 / 75.0</w:t>
            </w:r>
          </w:p>
        </w:tc>
        <w:tc>
          <w:tcPr>
            <w:tcW w:type="dxa" w:w="1568"/>
          </w:tcPr>
          <w:p>
            <w:r>
              <w:rPr>
                <w:rFonts w:ascii="Arial" w:hAnsi="Arial"/>
                <w:sz w:val="18"/>
              </w:rPr>
              <w:t>JT ≈ 0</w:t>
            </w:r>
          </w:p>
        </w:tc>
        <w:tc>
          <w:tcPr>
            <w:tcW w:type="dxa" w:w="1568"/>
          </w:tcPr>
          <w:p>
            <w:r>
              <w:rPr>
                <w:rFonts w:ascii="Arial" w:hAnsi="Arial"/>
                <w:sz w:val="18"/>
              </w:rPr>
              <w:t>JT 1.05 × 10⁻¹²</w:t>
            </w:r>
          </w:p>
        </w:tc>
        <w:tc>
          <w:tcPr>
            <w:tcW w:type="dxa" w:w="1568"/>
          </w:tcPr>
          <w:p>
            <w:r>
              <w:rPr>
                <w:rFonts w:ascii="Arial" w:hAnsi="Arial"/>
                <w:sz w:val="18"/>
              </w:rPr>
              <w:t>JT ≈ 0</w:t>
            </w:r>
          </w:p>
        </w:tc>
      </w:tr>
      <w:tr>
        <w:tc>
          <w:tcPr>
            <w:tcW w:type="dxa" w:w="1568"/>
          </w:tcPr>
          <w:p>
            <w:r>
              <w:rPr>
                <w:rFonts w:ascii="Arial" w:hAnsi="Arial"/>
                <w:sz w:val="18"/>
              </w:rPr>
              <w:t>BRCA PAM50</w:t>
            </w:r>
          </w:p>
        </w:tc>
        <w:tc>
          <w:tcPr>
            <w:tcW w:type="dxa" w:w="1568"/>
          </w:tcPr>
          <w:p>
            <w:r>
              <w:rPr>
                <w:rFonts w:ascii="Arial" w:hAnsi="Arial"/>
                <w:sz w:val="18"/>
              </w:rPr>
              <w:t>LumA &gt; LumB &gt; HER2 &gt; Basal &gt; Normal</w:t>
            </w:r>
          </w:p>
        </w:tc>
        <w:tc>
          <w:tcPr>
            <w:tcW w:type="dxa" w:w="1568"/>
          </w:tcPr>
          <w:p>
            <w:r>
              <w:rPr>
                <w:rFonts w:ascii="Arial" w:hAnsi="Arial"/>
                <w:sz w:val="18"/>
              </w:rPr>
              <w:t>142.0 / 136.5 / 121.8 / 116.7 / 101.9</w:t>
            </w:r>
          </w:p>
        </w:tc>
        <w:tc>
          <w:tcPr>
            <w:tcW w:type="dxa" w:w="1568"/>
          </w:tcPr>
          <w:p>
            <w:r>
              <w:rPr>
                <w:rFonts w:ascii="Arial" w:hAnsi="Arial"/>
                <w:sz w:val="18"/>
              </w:rPr>
              <w:t>KW 7.0 × 10⁻⁷</w:t>
            </w:r>
          </w:p>
        </w:tc>
        <w:tc>
          <w:tcPr>
            <w:tcW w:type="dxa" w:w="1568"/>
          </w:tcPr>
          <w:p>
            <w:r>
              <w:rPr>
                <w:rFonts w:ascii="Arial" w:hAnsi="Arial"/>
                <w:sz w:val="18"/>
              </w:rPr>
              <w:t>KW 8.3 × 10⁻¹²</w:t>
            </w:r>
          </w:p>
        </w:tc>
        <w:tc>
          <w:tcPr>
            <w:tcW w:type="dxa" w:w="1568"/>
          </w:tcPr>
          <w:p>
            <w:r>
              <w:rPr>
                <w:rFonts w:ascii="Arial" w:hAnsi="Arial"/>
                <w:sz w:val="18"/>
              </w:rPr>
              <w:t>KW 3.6 × 10⁻¹⁰</w:t>
            </w:r>
          </w:p>
        </w:tc>
      </w:tr>
      <w:tr>
        <w:tc>
          <w:tcPr>
            <w:tcW w:type="dxa" w:w="1568"/>
          </w:tcPr>
          <w:p>
            <w:r>
              <w:rPr>
                <w:rFonts w:ascii="Arial" w:hAnsi="Arial"/>
                <w:sz w:val="18"/>
              </w:rPr>
              <w:t>LUAD mutation</w:t>
            </w:r>
          </w:p>
        </w:tc>
        <w:tc>
          <w:tcPr>
            <w:tcW w:type="dxa" w:w="1568"/>
          </w:tcPr>
          <w:p>
            <w:r>
              <w:rPr>
                <w:rFonts w:ascii="Arial" w:hAnsi="Arial"/>
                <w:sz w:val="18"/>
              </w:rPr>
              <w:t>KRAS &gt; EGFR &gt; wild-type</w:t>
            </w:r>
          </w:p>
        </w:tc>
        <w:tc>
          <w:tcPr>
            <w:tcW w:type="dxa" w:w="1568"/>
          </w:tcPr>
          <w:p>
            <w:r>
              <w:rPr>
                <w:rFonts w:ascii="Arial" w:hAnsi="Arial"/>
                <w:sz w:val="18"/>
              </w:rPr>
              <w:t>136.9 / 122.2 / 115.4</w:t>
            </w:r>
          </w:p>
        </w:tc>
        <w:tc>
          <w:tcPr>
            <w:tcW w:type="dxa" w:w="1568"/>
          </w:tcPr>
          <w:p>
            <w:r>
              <w:rPr>
                <w:rFonts w:ascii="Arial" w:hAnsi="Arial"/>
                <w:sz w:val="18"/>
              </w:rPr>
              <w:t>KW 7.8 × 10⁻⁷</w:t>
            </w:r>
          </w:p>
        </w:tc>
        <w:tc>
          <w:tcPr>
            <w:tcW w:type="dxa" w:w="1568"/>
          </w:tcPr>
          <w:p>
            <w:r>
              <w:rPr>
                <w:rFonts w:ascii="Arial" w:hAnsi="Arial"/>
                <w:sz w:val="18"/>
              </w:rPr>
              <w:t>KW 0.015</w:t>
            </w:r>
          </w:p>
        </w:tc>
        <w:tc>
          <w:tcPr>
            <w:tcW w:type="dxa" w:w="1568"/>
          </w:tcPr>
          <w:p>
            <w:r>
              <w:rPr>
                <w:rFonts w:ascii="Arial" w:hAnsi="Arial"/>
                <w:sz w:val="18"/>
              </w:rPr>
              <w:t>KW 3.4 × 10⁻⁴</w:t>
            </w:r>
          </w:p>
        </w:tc>
      </w:tr>
    </w:tbl>
    <w:p>
      <w:r>
        <w:rPr>
          <w:rFonts w:ascii="Arial" w:hAnsi="Arial"/>
          <w:b w:val="0"/>
          <w:color w:val="000000"/>
          <w:sz w:val="22"/>
        </w:rPr>
        <w:t>Table (Note 3.16). TCGA clinical-severity gradients under the v44 linear-normalization re-analysis (kn_floor = 0; per-tumor mean of intratumoral TT pairs). JT = Jonckheere-Terpstra trend test; KW = Kruskal-Wallis. All P-values are nominal (no multiplicity correction); every gradient is denominator-dominated, as shown by the parallel k_n trends.</w:t>
      </w:r>
    </w:p>
    <w:p>
      <w:r>
        <w:rPr>
          <w:rFonts w:ascii="Arial" w:hAnsi="Arial"/>
          <w:b/>
          <w:color w:val="000000"/>
          <w:sz w:val="22"/>
        </w:rPr>
        <w:t>3.17 Brain Class-Size Confounding Controls and min-cells Threshold Sensitivity (v44)</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min cells</w:t>
            </w:r>
          </w:p>
        </w:tc>
        <w:tc>
          <w:tcPr>
            <w:tcW w:type="dxa" w:w="1568"/>
          </w:tcPr>
          <w:p>
            <w:r>
              <w:rPr>
                <w:rFonts w:ascii="Arial" w:hAnsi="Arial"/>
                <w:b/>
                <w:sz w:val="18"/>
              </w:rPr>
              <w:t>classes</w:t>
            </w:r>
          </w:p>
        </w:tc>
        <w:tc>
          <w:tcPr>
            <w:tcW w:type="dxa" w:w="1568"/>
          </w:tcPr>
          <w:p>
            <w:r>
              <w:rPr>
                <w:rFonts w:ascii="Arial" w:hAnsi="Arial"/>
                <w:b/>
                <w:sz w:val="18"/>
              </w:rPr>
              <w:t>pairs</w:t>
            </w:r>
          </w:p>
        </w:tc>
        <w:tc>
          <w:tcPr>
            <w:tcW w:type="dxa" w:w="1568"/>
          </w:tcPr>
          <w:p>
            <w:r>
              <w:rPr>
                <w:rFonts w:ascii="Arial" w:hAnsi="Arial"/>
                <w:b/>
                <w:sz w:val="18"/>
              </w:rPr>
              <w:t>Strong</w:t>
            </w:r>
          </w:p>
        </w:tc>
        <w:tc>
          <w:tcPr>
            <w:tcW w:type="dxa" w:w="1568"/>
          </w:tcPr>
          <w:p>
            <w:r>
              <w:rPr>
                <w:rFonts w:ascii="Arial" w:hAnsi="Arial"/>
                <w:b/>
                <w:sz w:val="18"/>
              </w:rPr>
              <w:t>lowest-ω class</w:t>
            </w:r>
          </w:p>
        </w:tc>
        <w:tc>
          <w:tcPr>
            <w:tcW w:type="dxa" w:w="1568"/>
          </w:tcPr>
          <w:p>
            <w:r>
              <w:rPr>
                <w:rFonts w:ascii="Arial" w:hAnsi="Arial"/>
                <w:b/>
                <w:sz w:val="18"/>
              </w:rPr>
              <w:t>Astrocyte/Bergmann gradient</w:t>
            </w:r>
          </w:p>
        </w:tc>
      </w:tr>
      <w:tr>
        <w:tc>
          <w:tcPr>
            <w:tcW w:type="dxa" w:w="1568"/>
          </w:tcPr>
          <w:p>
            <w:r>
              <w:rPr>
                <w:rFonts w:ascii="Arial" w:hAnsi="Arial"/>
                <w:sz w:val="18"/>
              </w:rPr>
              <w:t>10</w:t>
            </w:r>
          </w:p>
        </w:tc>
        <w:tc>
          <w:tcPr>
            <w:tcW w:type="dxa" w:w="1568"/>
          </w:tcPr>
          <w:p>
            <w:r>
              <w:rPr>
                <w:rFonts w:ascii="Arial" w:hAnsi="Arial"/>
                <w:sz w:val="18"/>
              </w:rPr>
              <w:t>10</w:t>
            </w:r>
          </w:p>
        </w:tc>
        <w:tc>
          <w:tcPr>
            <w:tcW w:type="dxa" w:w="1568"/>
          </w:tcPr>
          <w:p>
            <w:r>
              <w:rPr>
                <w:rFonts w:ascii="Arial" w:hAnsi="Arial"/>
                <w:sz w:val="18"/>
              </w:rPr>
              <w:t>37,361</w:t>
            </w:r>
          </w:p>
        </w:tc>
        <w:tc>
          <w:tcPr>
            <w:tcW w:type="dxa" w:w="1568"/>
          </w:tcPr>
          <w:p>
            <w:r>
              <w:rPr>
                <w:rFonts w:ascii="Arial" w:hAnsi="Arial"/>
                <w:sz w:val="18"/>
              </w:rPr>
              <w:t>29</w:t>
            </w:r>
          </w:p>
        </w:tc>
        <w:tc>
          <w:tcPr>
            <w:tcW w:type="dxa" w:w="1568"/>
          </w:tcPr>
          <w:p>
            <w:r>
              <w:rPr>
                <w:rFonts w:ascii="Arial" w:hAnsi="Arial"/>
                <w:sz w:val="18"/>
              </w:rPr>
              <w:t>Vascular</w:t>
            </w:r>
          </w:p>
        </w:tc>
        <w:tc>
          <w:tcPr>
            <w:tcW w:type="dxa" w:w="1568"/>
          </w:tcPr>
          <w:p>
            <w:r>
              <w:rPr>
                <w:rFonts w:ascii="Arial" w:hAnsi="Arial"/>
                <w:sz w:val="18"/>
              </w:rPr>
              <w:t>6.60</w:t>
            </w:r>
          </w:p>
        </w:tc>
      </w:tr>
      <w:tr>
        <w:tc>
          <w:tcPr>
            <w:tcW w:type="dxa" w:w="1568"/>
          </w:tcPr>
          <w:p>
            <w:r>
              <w:rPr>
                <w:rFonts w:ascii="Arial" w:hAnsi="Arial"/>
                <w:sz w:val="18"/>
              </w:rPr>
              <w:t>20 (reference)</w:t>
            </w:r>
          </w:p>
        </w:tc>
        <w:tc>
          <w:tcPr>
            <w:tcW w:type="dxa" w:w="1568"/>
          </w:tcPr>
          <w:p>
            <w:r>
              <w:rPr>
                <w:rFonts w:ascii="Arial" w:hAnsi="Arial"/>
                <w:sz w:val="18"/>
              </w:rPr>
              <w:t>10</w:t>
            </w:r>
          </w:p>
        </w:tc>
        <w:tc>
          <w:tcPr>
            <w:tcW w:type="dxa" w:w="1568"/>
          </w:tcPr>
          <w:p>
            <w:r>
              <w:rPr>
                <w:rFonts w:ascii="Arial" w:hAnsi="Arial"/>
                <w:sz w:val="18"/>
              </w:rPr>
              <w:t>31,764</w:t>
            </w:r>
          </w:p>
        </w:tc>
        <w:tc>
          <w:tcPr>
            <w:tcW w:type="dxa" w:w="1568"/>
          </w:tcPr>
          <w:p>
            <w:r>
              <w:rPr>
                <w:rFonts w:ascii="Arial" w:hAnsi="Arial"/>
                <w:sz w:val="18"/>
              </w:rPr>
              <w:t>39</w:t>
            </w:r>
          </w:p>
        </w:tc>
        <w:tc>
          <w:tcPr>
            <w:tcW w:type="dxa" w:w="1568"/>
          </w:tcPr>
          <w:p>
            <w:r>
              <w:rPr>
                <w:rFonts w:ascii="Arial" w:hAnsi="Arial"/>
                <w:sz w:val="18"/>
              </w:rPr>
              <w:t>Bergmann glia</w:t>
            </w:r>
          </w:p>
        </w:tc>
        <w:tc>
          <w:tcPr>
            <w:tcW w:type="dxa" w:w="1568"/>
          </w:tcPr>
          <w:p>
            <w:r>
              <w:rPr>
                <w:rFonts w:ascii="Arial" w:hAnsi="Arial"/>
                <w:sz w:val="18"/>
              </w:rPr>
              <w:t>6.10</w:t>
            </w:r>
          </w:p>
        </w:tc>
      </w:tr>
      <w:tr>
        <w:tc>
          <w:tcPr>
            <w:tcW w:type="dxa" w:w="1568"/>
          </w:tcPr>
          <w:p>
            <w:r>
              <w:rPr>
                <w:rFonts w:ascii="Arial" w:hAnsi="Arial"/>
                <w:sz w:val="18"/>
              </w:rPr>
              <w:t>50</w:t>
            </w:r>
          </w:p>
        </w:tc>
        <w:tc>
          <w:tcPr>
            <w:tcW w:type="dxa" w:w="1568"/>
          </w:tcPr>
          <w:p>
            <w:r>
              <w:rPr>
                <w:rFonts w:ascii="Arial" w:hAnsi="Arial"/>
                <w:sz w:val="18"/>
              </w:rPr>
              <w:t>10</w:t>
            </w:r>
          </w:p>
        </w:tc>
        <w:tc>
          <w:tcPr>
            <w:tcW w:type="dxa" w:w="1568"/>
          </w:tcPr>
          <w:p>
            <w:r>
              <w:rPr>
                <w:rFonts w:ascii="Arial" w:hAnsi="Arial"/>
                <w:sz w:val="18"/>
              </w:rPr>
              <w:t>25,876</w:t>
            </w:r>
          </w:p>
        </w:tc>
        <w:tc>
          <w:tcPr>
            <w:tcW w:type="dxa" w:w="1568"/>
          </w:tcPr>
          <w:p>
            <w:r>
              <w:rPr>
                <w:rFonts w:ascii="Arial" w:hAnsi="Arial"/>
                <w:sz w:val="18"/>
              </w:rPr>
              <w:t>31</w:t>
            </w:r>
          </w:p>
        </w:tc>
        <w:tc>
          <w:tcPr>
            <w:tcW w:type="dxa" w:w="1568"/>
          </w:tcPr>
          <w:p>
            <w:r>
              <w:rPr>
                <w:rFonts w:ascii="Arial" w:hAnsi="Arial"/>
                <w:sz w:val="18"/>
              </w:rPr>
              <w:t>Vascular</w:t>
            </w:r>
          </w:p>
        </w:tc>
        <w:tc>
          <w:tcPr>
            <w:tcW w:type="dxa" w:w="1568"/>
          </w:tcPr>
          <w:p>
            <w:r>
              <w:rPr>
                <w:rFonts w:ascii="Arial" w:hAnsi="Arial"/>
                <w:sz w:val="18"/>
              </w:rPr>
              <w:t>4.12</w:t>
            </w:r>
          </w:p>
        </w:tc>
      </w:tr>
      <w:tr>
        <w:tc>
          <w:tcPr>
            <w:tcW w:type="dxa" w:w="1568"/>
          </w:tcPr>
          <w:p>
            <w:r>
              <w:rPr>
                <w:rFonts w:ascii="Arial" w:hAnsi="Arial"/>
                <w:sz w:val="18"/>
              </w:rPr>
              <w:t>100</w:t>
            </w:r>
          </w:p>
        </w:tc>
        <w:tc>
          <w:tcPr>
            <w:tcW w:type="dxa" w:w="1568"/>
          </w:tcPr>
          <w:p>
            <w:r>
              <w:rPr>
                <w:rFonts w:ascii="Arial" w:hAnsi="Arial"/>
                <w:sz w:val="18"/>
              </w:rPr>
              <w:t>8</w:t>
            </w:r>
          </w:p>
        </w:tc>
        <w:tc>
          <w:tcPr>
            <w:tcW w:type="dxa" w:w="1568"/>
          </w:tcPr>
          <w:p>
            <w:r>
              <w:rPr>
                <w:rFonts w:ascii="Arial" w:hAnsi="Arial"/>
                <w:sz w:val="18"/>
              </w:rPr>
              <w:t>22,968</w:t>
            </w:r>
          </w:p>
        </w:tc>
        <w:tc>
          <w:tcPr>
            <w:tcW w:type="dxa" w:w="1568"/>
          </w:tcPr>
          <w:p>
            <w:r>
              <w:rPr>
                <w:rFonts w:ascii="Arial" w:hAnsi="Arial"/>
                <w:sz w:val="18"/>
              </w:rPr>
              <w:t>22</w:t>
            </w:r>
          </w:p>
        </w:tc>
        <w:tc>
          <w:tcPr>
            <w:tcW w:type="dxa" w:w="1568"/>
          </w:tcPr>
          <w:p>
            <w:r>
              <w:rPr>
                <w:rFonts w:ascii="Arial" w:hAnsi="Arial"/>
                <w:sz w:val="18"/>
              </w:rPr>
              <w:t>Vascular</w:t>
            </w:r>
          </w:p>
        </w:tc>
        <w:tc>
          <w:tcPr>
            <w:tcW w:type="dxa" w:w="1568"/>
          </w:tcPr>
          <w:p>
            <w:r>
              <w:rPr>
                <w:rFonts w:ascii="Arial" w:hAnsi="Arial"/>
                <w:sz w:val="18"/>
              </w:rPr>
              <w:t>n/a (Bergmann glia, choroid plexus dropped)</w:t>
            </w:r>
          </w:p>
        </w:tc>
      </w:tr>
    </w:tbl>
    <w:p>
      <w:r>
        <w:rPr>
          <w:rFonts w:ascii="Arial" w:hAnsi="Arial"/>
          <w:b w:val="0"/>
          <w:color w:val="000000"/>
          <w:sz w:val="22"/>
        </w:rPr>
        <w:t>Table (Note 3.17). Threshold sensitivity of the brain landscape. The 20-nucleus threshold is not arbitrary-sensitive: the high-ω classes (astrocytes, oligodendrocytes, OPCs, microglia) change by ≤ 1% across thresholds, and Strong-tier counts vary modestly (22–39). Two caveats: (i) the lowest-ω position is a near-tie at t = 20 (Bergmann glia 13.555 versus vascular 13.559) and flips with threshold choice; (ii) t = 100 drops the two smallest classes (Bergmann glia, choroid plexus), so the threshold must stay ≤ 50 to retain all ten classes; t = 20 maximizes pair coverage while keeping per-group pseudobulk noise acceptable.</w:t>
      </w:r>
    </w:p>
    <w:p>
      <w:r>
        <w:rPr>
          <w:rFonts w:ascii="Arial" w:hAnsi="Arial"/>
          <w:b/>
          <w:color w:val="000000"/>
          <w:sz w:val="22"/>
        </w:rPr>
        <w:t>3.18 Mouse Split-Half Re-calibration (6 → 50 splits; v44)</w:t>
      </w:r>
    </w:p>
    <w:p>
      <w:r>
        <w:rPr>
          <w:rFonts w:ascii="Arial" w:hAnsi="Arial"/>
          <w:b w:val="0"/>
          <w:color w:val="000000"/>
          <w:sz w:val="22"/>
        </w:rPr>
        <w:t>The equivalent-population calibration of Note 3.5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3.19 Competitor Benchmark: MELD and a Python Approximation of scDist (v44)</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Note 3.15).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cells</w:t>
            </w:r>
          </w:p>
        </w:tc>
        <w:tc>
          <w:tcPr>
            <w:tcW w:type="dxa" w:w="1881"/>
          </w:tcPr>
          <w:p>
            <w:r>
              <w:rPr>
                <w:rFonts w:ascii="Arial" w:hAnsi="Arial"/>
                <w:b/>
                <w:sz w:val="18"/>
              </w:rPr>
              <w:t>CKI ω_cal</w:t>
            </w:r>
          </w:p>
        </w:tc>
        <w:tc>
          <w:tcPr>
            <w:tcW w:type="dxa" w:w="1881"/>
          </w:tcPr>
          <w:p>
            <w:r>
              <w:rPr>
                <w:rFonts w:ascii="Arial" w:hAnsi="Arial"/>
                <w:b/>
                <w:sz w:val="18"/>
              </w:rPr>
              <w:t>MELD within-type AUC</w:t>
            </w:r>
          </w:p>
        </w:tc>
        <w:tc>
          <w:tcPr>
            <w:tcW w:type="dxa" w:w="1881"/>
          </w:tcPr>
          <w:p>
            <w:r>
              <w:rPr>
                <w:rFonts w:ascii="Arial" w:hAnsi="Arial"/>
                <w:b/>
                <w:sz w:val="18"/>
              </w:rPr>
              <w:t>scDist-approx distance</w:t>
            </w:r>
          </w:p>
        </w:tc>
      </w:tr>
      <w:tr>
        <w:tc>
          <w:tcPr>
            <w:tcW w:type="dxa" w:w="1881"/>
          </w:tcPr>
          <w:p>
            <w:r>
              <w:rPr>
                <w:rFonts w:ascii="Arial" w:hAnsi="Arial"/>
                <w:sz w:val="18"/>
              </w:rPr>
              <w:t>B cells</w:t>
            </w:r>
          </w:p>
        </w:tc>
        <w:tc>
          <w:tcPr>
            <w:tcW w:type="dxa" w:w="1881"/>
          </w:tcPr>
          <w:p>
            <w:r>
              <w:rPr>
                <w:rFonts w:ascii="Arial" w:hAnsi="Arial"/>
                <w:sz w:val="18"/>
              </w:rPr>
              <w:t>2,573</w:t>
            </w:r>
          </w:p>
        </w:tc>
        <w:tc>
          <w:tcPr>
            <w:tcW w:type="dxa" w:w="1881"/>
          </w:tcPr>
          <w:p>
            <w:r>
              <w:rPr>
                <w:rFonts w:ascii="Arial" w:hAnsi="Arial"/>
                <w:sz w:val="18"/>
              </w:rPr>
              <w:t>3.44</w:t>
            </w:r>
          </w:p>
        </w:tc>
        <w:tc>
          <w:tcPr>
            <w:tcW w:type="dxa" w:w="1881"/>
          </w:tcPr>
          <w:p>
            <w:r>
              <w:rPr>
                <w:rFonts w:ascii="Arial" w:hAnsi="Arial"/>
                <w:sz w:val="18"/>
              </w:rPr>
              <w:t>0.9994</w:t>
            </w:r>
          </w:p>
        </w:tc>
        <w:tc>
          <w:tcPr>
            <w:tcW w:type="dxa" w:w="1881"/>
          </w:tcPr>
          <w:p>
            <w:r>
              <w:rPr>
                <w:rFonts w:ascii="Arial" w:hAnsi="Arial"/>
                <w:sz w:val="18"/>
              </w:rPr>
              <w:t>94.7</w:t>
            </w:r>
          </w:p>
        </w:tc>
      </w:tr>
      <w:tr>
        <w:tc>
          <w:tcPr>
            <w:tcW w:type="dxa" w:w="1881"/>
          </w:tcPr>
          <w:p>
            <w:r>
              <w:rPr>
                <w:rFonts w:ascii="Arial" w:hAnsi="Arial"/>
                <w:sz w:val="18"/>
              </w:rPr>
              <w:t>CD14+ monocytes</w:t>
            </w:r>
          </w:p>
        </w:tc>
        <w:tc>
          <w:tcPr>
            <w:tcW w:type="dxa" w:w="1881"/>
          </w:tcPr>
          <w:p>
            <w:r>
              <w:rPr>
                <w:rFonts w:ascii="Arial" w:hAnsi="Arial"/>
                <w:sz w:val="18"/>
              </w:rPr>
              <w:t>5,385</w:t>
            </w:r>
          </w:p>
        </w:tc>
        <w:tc>
          <w:tcPr>
            <w:tcW w:type="dxa" w:w="1881"/>
          </w:tcPr>
          <w:p>
            <w:r>
              <w:rPr>
                <w:rFonts w:ascii="Arial" w:hAnsi="Arial"/>
                <w:sz w:val="18"/>
              </w:rPr>
              <w:t>2.28</w:t>
            </w:r>
          </w:p>
        </w:tc>
        <w:tc>
          <w:tcPr>
            <w:tcW w:type="dxa" w:w="1881"/>
          </w:tcPr>
          <w:p>
            <w:r>
              <w:rPr>
                <w:rFonts w:ascii="Arial" w:hAnsi="Arial"/>
                <w:sz w:val="18"/>
              </w:rPr>
              <w:t>0.9998</w:t>
            </w:r>
          </w:p>
        </w:tc>
        <w:tc>
          <w:tcPr>
            <w:tcW w:type="dxa" w:w="1881"/>
          </w:tcPr>
          <w:p>
            <w:r>
              <w:rPr>
                <w:rFonts w:ascii="Arial" w:hAnsi="Arial"/>
                <w:sz w:val="18"/>
              </w:rPr>
              <w:t>182.6</w:t>
            </w:r>
          </w:p>
        </w:tc>
      </w:tr>
      <w:tr>
        <w:tc>
          <w:tcPr>
            <w:tcW w:type="dxa" w:w="1881"/>
          </w:tcPr>
          <w:p>
            <w:r>
              <w:rPr>
                <w:rFonts w:ascii="Arial" w:hAnsi="Arial"/>
                <w:sz w:val="18"/>
              </w:rPr>
              <w:t>CD4 T cells</w:t>
            </w:r>
          </w:p>
        </w:tc>
        <w:tc>
          <w:tcPr>
            <w:tcW w:type="dxa" w:w="1881"/>
          </w:tcPr>
          <w:p>
            <w:r>
              <w:rPr>
                <w:rFonts w:ascii="Arial" w:hAnsi="Arial"/>
                <w:sz w:val="18"/>
              </w:rPr>
              <w:t>10,389</w:t>
            </w:r>
          </w:p>
        </w:tc>
        <w:tc>
          <w:tcPr>
            <w:tcW w:type="dxa" w:w="1881"/>
          </w:tcPr>
          <w:p>
            <w:r>
              <w:rPr>
                <w:rFonts w:ascii="Arial" w:hAnsi="Arial"/>
                <w:sz w:val="18"/>
              </w:rPr>
              <w:t>1.76</w:t>
            </w:r>
          </w:p>
        </w:tc>
        <w:tc>
          <w:tcPr>
            <w:tcW w:type="dxa" w:w="1881"/>
          </w:tcPr>
          <w:p>
            <w:r>
              <w:rPr>
                <w:rFonts w:ascii="Arial" w:hAnsi="Arial"/>
                <w:sz w:val="18"/>
              </w:rPr>
              <w:t>0.9989</w:t>
            </w:r>
          </w:p>
        </w:tc>
        <w:tc>
          <w:tcPr>
            <w:tcW w:type="dxa" w:w="1881"/>
          </w:tcPr>
          <w:p>
            <w:r>
              <w:rPr>
                <w:rFonts w:ascii="Arial" w:hAnsi="Arial"/>
                <w:sz w:val="18"/>
              </w:rPr>
              <w:t>71.9</w:t>
            </w:r>
          </w:p>
        </w:tc>
      </w:tr>
      <w:tr>
        <w:tc>
          <w:tcPr>
            <w:tcW w:type="dxa" w:w="1881"/>
          </w:tcPr>
          <w:p>
            <w:r>
              <w:rPr>
                <w:rFonts w:ascii="Arial" w:hAnsi="Arial"/>
                <w:sz w:val="18"/>
              </w:rPr>
              <w:t>CD8 T cells</w:t>
            </w:r>
          </w:p>
        </w:tc>
        <w:tc>
          <w:tcPr>
            <w:tcW w:type="dxa" w:w="1881"/>
          </w:tcPr>
          <w:p>
            <w:r>
              <w:rPr>
                <w:rFonts w:ascii="Arial" w:hAnsi="Arial"/>
                <w:sz w:val="18"/>
              </w:rPr>
              <w:t>2,042</w:t>
            </w:r>
          </w:p>
        </w:tc>
        <w:tc>
          <w:tcPr>
            <w:tcW w:type="dxa" w:w="1881"/>
          </w:tcPr>
          <w:p>
            <w:r>
              <w:rPr>
                <w:rFonts w:ascii="Arial" w:hAnsi="Arial"/>
                <w:sz w:val="18"/>
              </w:rPr>
              <w:t>3.23</w:t>
            </w:r>
          </w:p>
        </w:tc>
        <w:tc>
          <w:tcPr>
            <w:tcW w:type="dxa" w:w="1881"/>
          </w:tcPr>
          <w:p>
            <w:r>
              <w:rPr>
                <w:rFonts w:ascii="Arial" w:hAnsi="Arial"/>
                <w:sz w:val="18"/>
              </w:rPr>
              <w:t>0.9976</w:t>
            </w:r>
          </w:p>
        </w:tc>
        <w:tc>
          <w:tcPr>
            <w:tcW w:type="dxa" w:w="1881"/>
          </w:tcPr>
          <w:p>
            <w:r>
              <w:rPr>
                <w:rFonts w:ascii="Arial" w:hAnsi="Arial"/>
                <w:sz w:val="18"/>
              </w:rPr>
              <w:t>72.4</w:t>
            </w:r>
          </w:p>
        </w:tc>
      </w:tr>
      <w:tr>
        <w:tc>
          <w:tcPr>
            <w:tcW w:type="dxa" w:w="1881"/>
          </w:tcPr>
          <w:p>
            <w:r>
              <w:rPr>
                <w:rFonts w:ascii="Arial" w:hAnsi="Arial"/>
                <w:sz w:val="18"/>
              </w:rPr>
              <w:t>FCGR3A+ monocytes</w:t>
            </w:r>
          </w:p>
        </w:tc>
        <w:tc>
          <w:tcPr>
            <w:tcW w:type="dxa" w:w="1881"/>
          </w:tcPr>
          <w:p>
            <w:r>
              <w:rPr>
                <w:rFonts w:ascii="Arial" w:hAnsi="Arial"/>
                <w:sz w:val="18"/>
              </w:rPr>
              <w:t>1,599</w:t>
            </w:r>
          </w:p>
        </w:tc>
        <w:tc>
          <w:tcPr>
            <w:tcW w:type="dxa" w:w="1881"/>
          </w:tcPr>
          <w:p>
            <w:r>
              <w:rPr>
                <w:rFonts w:ascii="Arial" w:hAnsi="Arial"/>
                <w:sz w:val="18"/>
              </w:rPr>
              <w:t>3.09</w:t>
            </w:r>
          </w:p>
        </w:tc>
        <w:tc>
          <w:tcPr>
            <w:tcW w:type="dxa" w:w="1881"/>
          </w:tcPr>
          <w:p>
            <w:r>
              <w:rPr>
                <w:rFonts w:ascii="Arial" w:hAnsi="Arial"/>
                <w:sz w:val="18"/>
              </w:rPr>
              <w:t>0.9995</w:t>
            </w:r>
          </w:p>
        </w:tc>
        <w:tc>
          <w:tcPr>
            <w:tcW w:type="dxa" w:w="1881"/>
          </w:tcPr>
          <w:p>
            <w:r>
              <w:rPr>
                <w:rFonts w:ascii="Arial" w:hAnsi="Arial"/>
                <w:sz w:val="18"/>
              </w:rPr>
              <w:t>145.3</w:t>
            </w:r>
          </w:p>
        </w:tc>
      </w:tr>
      <w:tr>
        <w:tc>
          <w:tcPr>
            <w:tcW w:type="dxa" w:w="1881"/>
          </w:tcPr>
          <w:p>
            <w:r>
              <w:rPr>
                <w:rFonts w:ascii="Arial" w:hAnsi="Arial"/>
                <w:sz w:val="18"/>
              </w:rPr>
              <w:t>NK cells</w:t>
            </w:r>
          </w:p>
        </w:tc>
        <w:tc>
          <w:tcPr>
            <w:tcW w:type="dxa" w:w="1881"/>
          </w:tcPr>
          <w:p>
            <w:r>
              <w:rPr>
                <w:rFonts w:ascii="Arial" w:hAnsi="Arial"/>
                <w:sz w:val="18"/>
              </w:rPr>
              <w:t>1,993</w:t>
            </w:r>
          </w:p>
        </w:tc>
        <w:tc>
          <w:tcPr>
            <w:tcW w:type="dxa" w:w="1881"/>
          </w:tcPr>
          <w:p>
            <w:r>
              <w:rPr>
                <w:rFonts w:ascii="Arial" w:hAnsi="Arial"/>
                <w:sz w:val="18"/>
              </w:rPr>
              <w:t>2.88</w:t>
            </w:r>
          </w:p>
        </w:tc>
        <w:tc>
          <w:tcPr>
            <w:tcW w:type="dxa" w:w="1881"/>
          </w:tcPr>
          <w:p>
            <w:r>
              <w:rPr>
                <w:rFonts w:ascii="Arial" w:hAnsi="Arial"/>
                <w:sz w:val="18"/>
              </w:rPr>
              <w:t>0.9972</w:t>
            </w:r>
          </w:p>
        </w:tc>
        <w:tc>
          <w:tcPr>
            <w:tcW w:type="dxa" w:w="1881"/>
          </w:tcPr>
          <w:p>
            <w:r>
              <w:rPr>
                <w:rFonts w:ascii="Arial" w:hAnsi="Arial"/>
                <w:sz w:val="18"/>
              </w:rPr>
              <w:t>88.2</w:t>
            </w:r>
          </w:p>
        </w:tc>
      </w:tr>
    </w:tbl>
    <w:p>
      <w:r>
        <w:rPr>
          <w:rFonts w:ascii="Arial" w:hAnsi="Arial"/>
          <w:b w:val="0"/>
          <w:color w:val="000000"/>
          <w:sz w:val="22"/>
        </w:rPr>
        <w:t>Table (Note 3.19a). Per-cell-type effects on Kang IFN-β (stimulated versus control). ω_cal is calibrated against the split-half baseline of Note 3.15.</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Notes 3.12 and 3.15).</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Method</w:t>
            </w:r>
          </w:p>
        </w:tc>
        <w:tc>
          <w:tcPr>
            <w:tcW w:type="dxa" w:w="1176"/>
          </w:tcPr>
          <w:p>
            <w:r>
              <w:rPr>
                <w:rFonts w:ascii="Arial" w:hAnsi="Arial"/>
                <w:b/>
                <w:sz w:val="18"/>
              </w:rPr>
              <w:t>FPR/type</w:t>
            </w:r>
          </w:p>
        </w:tc>
        <w:tc>
          <w:tcPr>
            <w:tcW w:type="dxa" w:w="1176"/>
          </w:tcPr>
          <w:p>
            <w:r>
              <w:rPr>
                <w:rFonts w:ascii="Arial" w:hAnsi="Arial"/>
                <w:b/>
                <w:sz w:val="18"/>
              </w:rPr>
              <w:t>G100 F2</w:t>
            </w:r>
          </w:p>
        </w:tc>
        <w:tc>
          <w:tcPr>
            <w:tcW w:type="dxa" w:w="1176"/>
          </w:tcPr>
          <w:p>
            <w:r>
              <w:rPr>
                <w:rFonts w:ascii="Arial" w:hAnsi="Arial"/>
                <w:b/>
                <w:sz w:val="18"/>
              </w:rPr>
              <w:t>G100 F4</w:t>
            </w:r>
          </w:p>
        </w:tc>
        <w:tc>
          <w:tcPr>
            <w:tcW w:type="dxa" w:w="1176"/>
          </w:tcPr>
          <w:p>
            <w:r>
              <w:rPr>
                <w:rFonts w:ascii="Arial" w:hAnsi="Arial"/>
                <w:b/>
                <w:sz w:val="18"/>
              </w:rPr>
              <w:t>G100 F8</w:t>
            </w:r>
          </w:p>
        </w:tc>
        <w:tc>
          <w:tcPr>
            <w:tcW w:type="dxa" w:w="1176"/>
          </w:tcPr>
          <w:p>
            <w:r>
              <w:rPr>
                <w:rFonts w:ascii="Arial" w:hAnsi="Arial"/>
                <w:b/>
                <w:sz w:val="18"/>
              </w:rPr>
              <w:t>G500 F2</w:t>
            </w:r>
          </w:p>
        </w:tc>
        <w:tc>
          <w:tcPr>
            <w:tcW w:type="dxa" w:w="1176"/>
          </w:tcPr>
          <w:p>
            <w:r>
              <w:rPr>
                <w:rFonts w:ascii="Arial" w:hAnsi="Arial"/>
                <w:b/>
                <w:sz w:val="18"/>
              </w:rPr>
              <w:t>G500 F4</w:t>
            </w:r>
          </w:p>
        </w:tc>
        <w:tc>
          <w:tcPr>
            <w:tcW w:type="dxa" w:w="1176"/>
          </w:tcPr>
          <w:p>
            <w:r>
              <w:rPr>
                <w:rFonts w:ascii="Arial" w:hAnsi="Arial"/>
                <w:b/>
                <w:sz w:val="18"/>
              </w:rPr>
              <w:t>G500 F8</w:t>
            </w:r>
          </w:p>
        </w:tc>
      </w:tr>
      <w:tr>
        <w:tc>
          <w:tcPr>
            <w:tcW w:type="dxa" w:w="1176"/>
          </w:tcPr>
          <w:p>
            <w:r>
              <w:rPr>
                <w:rFonts w:ascii="Arial" w:hAnsi="Arial"/>
                <w:sz w:val="18"/>
              </w:rPr>
              <w:t>MELD</w:t>
            </w:r>
          </w:p>
        </w:tc>
        <w:tc>
          <w:tcPr>
            <w:tcW w:type="dxa" w:w="1176"/>
          </w:tcPr>
          <w:p>
            <w:r>
              <w:rPr>
                <w:rFonts w:ascii="Arial" w:hAnsi="Arial"/>
                <w:sz w:val="18"/>
              </w:rPr>
              <w:t>0.033</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scDist (Python approximation)</w:t>
            </w:r>
          </w:p>
        </w:tc>
        <w:tc>
          <w:tcPr>
            <w:tcW w:type="dxa" w:w="1176"/>
          </w:tcPr>
          <w:p>
            <w:r>
              <w:rPr>
                <w:rFonts w:ascii="Arial" w:hAnsi="Arial"/>
                <w:sz w:val="18"/>
              </w:rPr>
              <w:t>0.050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CKI ω</w:t>
            </w:r>
          </w:p>
        </w:tc>
        <w:tc>
          <w:tcPr>
            <w:tcW w:type="dxa" w:w="1176"/>
          </w:tcPr>
          <w:p>
            <w:r>
              <w:rPr>
                <w:rFonts w:ascii="Arial" w:hAnsi="Arial"/>
                <w:sz w:val="18"/>
              </w:rPr>
              <w:t>0.083</w:t>
            </w:r>
          </w:p>
        </w:tc>
        <w:tc>
          <w:tcPr>
            <w:tcW w:type="dxa" w:w="1176"/>
          </w:tcPr>
          <w:p>
            <w:r>
              <w:rPr>
                <w:rFonts w:ascii="Arial" w:hAnsi="Arial"/>
                <w:sz w:val="18"/>
              </w:rPr>
              <w:t>0.517</w:t>
            </w:r>
          </w:p>
        </w:tc>
        <w:tc>
          <w:tcPr>
            <w:tcW w:type="dxa" w:w="1176"/>
          </w:tcPr>
          <w:p>
            <w:r>
              <w:rPr>
                <w:rFonts w:ascii="Arial" w:hAnsi="Arial"/>
                <w:sz w:val="18"/>
              </w:rPr>
              <w:t>0.688</w:t>
            </w:r>
          </w:p>
        </w:tc>
        <w:tc>
          <w:tcPr>
            <w:tcW w:type="dxa" w:w="1176"/>
          </w:tcPr>
          <w:p>
            <w:r>
              <w:rPr>
                <w:rFonts w:ascii="Arial" w:hAnsi="Arial"/>
                <w:sz w:val="18"/>
              </w:rPr>
              <w:t>0.787</w:t>
            </w:r>
          </w:p>
        </w:tc>
        <w:tc>
          <w:tcPr>
            <w:tcW w:type="dxa" w:w="1176"/>
          </w:tcPr>
          <w:p>
            <w:r>
              <w:rPr>
                <w:rFonts w:ascii="Arial" w:hAnsi="Arial"/>
                <w:sz w:val="18"/>
              </w:rPr>
              <w:t>0.127</w:t>
            </w:r>
          </w:p>
        </w:tc>
        <w:tc>
          <w:tcPr>
            <w:tcW w:type="dxa" w:w="1176"/>
          </w:tcPr>
          <w:p>
            <w:r>
              <w:rPr>
                <w:rFonts w:ascii="Arial" w:hAnsi="Arial"/>
                <w:sz w:val="18"/>
              </w:rPr>
              <w:t>0.059</w:t>
            </w:r>
          </w:p>
        </w:tc>
        <w:tc>
          <w:tcPr>
            <w:tcW w:type="dxa" w:w="1176"/>
          </w:tcPr>
          <w:p>
            <w:r>
              <w:rPr>
                <w:rFonts w:ascii="Arial" w:hAnsi="Arial"/>
                <w:sz w:val="18"/>
              </w:rPr>
              <w:t>0.054</w:t>
            </w:r>
          </w:p>
        </w:tc>
      </w:tr>
    </w:tbl>
    <w:p>
      <w:r>
        <w:rPr>
          <w:rFonts w:ascii="Arial" w:hAnsi="Arial"/>
          <w:b w:val="0"/>
          <w:color w:val="000000"/>
          <w:sz w:val="22"/>
        </w:rPr>
        <w:t>Table (Note 3.19b). Target-detection AUC (target CD14+ monocytes versus the five null cell types) in the additive mean-shift simulation. MELD and the scDist approximation also achieve sensitivity 1.00 and top-1 hit rate 1.00 at every configuration.</w:t>
      </w:r>
    </w:p>
    <w:p>
      <w:r>
        <w:rPr>
          <w:rFonts w:ascii="Arial" w:hAnsi="Arial"/>
          <w:b w:val="0"/>
          <w:color w:val="000000"/>
          <w:sz w:val="22"/>
        </w:rPr>
        <w:t>Power formalization (donor-paired design of Note 3.15;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 50</w:t>
            </w:r>
          </w:p>
        </w:tc>
        <w:tc>
          <w:tcPr>
            <w:tcW w:type="dxa" w:w="1881"/>
          </w:tcPr>
          <w:p>
            <w:r>
              <w:rPr>
                <w:rFonts w:ascii="Arial" w:hAnsi="Arial"/>
                <w:b/>
                <w:sz w:val="18"/>
              </w:rPr>
              <w:t>n = 100</w:t>
            </w:r>
          </w:p>
        </w:tc>
        <w:tc>
          <w:tcPr>
            <w:tcW w:type="dxa" w:w="1881"/>
          </w:tcPr>
          <w:p>
            <w:r>
              <w:rPr>
                <w:rFonts w:ascii="Arial" w:hAnsi="Arial"/>
                <w:b/>
                <w:sz w:val="18"/>
              </w:rPr>
              <w:t>n = 200</w:t>
            </w:r>
          </w:p>
        </w:tc>
        <w:tc>
          <w:tcPr>
            <w:tcW w:type="dxa" w:w="1881"/>
          </w:tcPr>
          <w:p>
            <w:r>
              <w:rPr>
                <w:rFonts w:ascii="Arial" w:hAnsi="Arial"/>
                <w:b/>
                <w:sz w:val="18"/>
              </w:rPr>
              <w:t>n = 500</w:t>
            </w:r>
          </w:p>
        </w:tc>
      </w:tr>
      <w:tr>
        <w:tc>
          <w:tcPr>
            <w:tcW w:type="dxa" w:w="1881"/>
          </w:tcPr>
          <w:p>
            <w:r>
              <w:rPr>
                <w:rFonts w:ascii="Arial" w:hAnsi="Arial"/>
                <w:sz w:val="18"/>
              </w:rPr>
              <w:t>B cells</w:t>
            </w:r>
          </w:p>
        </w:tc>
        <w:tc>
          <w:tcPr>
            <w:tcW w:type="dxa" w:w="1881"/>
          </w:tcPr>
          <w:p>
            <w:r>
              <w:rPr>
                <w:rFonts w:ascii="Arial" w:hAnsi="Arial"/>
                <w:sz w:val="18"/>
              </w:rPr>
              <w:t>0.84</w:t>
            </w:r>
          </w:p>
        </w:tc>
        <w:tc>
          <w:tcPr>
            <w:tcW w:type="dxa" w:w="1881"/>
          </w:tcPr>
          <w:p>
            <w:r>
              <w:rPr>
                <w:rFonts w:ascii="Arial" w:hAnsi="Arial"/>
                <w:sz w:val="18"/>
              </w:rPr>
              <w:t>0.68</w:t>
            </w:r>
          </w:p>
        </w:tc>
        <w:tc>
          <w:tcPr>
            <w:tcW w:type="dxa" w:w="1881"/>
          </w:tcPr>
          <w:p>
            <w:r>
              <w:rPr>
                <w:rFonts w:ascii="Arial" w:hAnsi="Arial"/>
                <w:sz w:val="18"/>
              </w:rPr>
              <w:t>0.17</w:t>
            </w:r>
          </w:p>
        </w:tc>
        <w:tc>
          <w:tcPr>
            <w:tcW w:type="dxa" w:w="1881"/>
          </w:tcPr>
          <w:p>
            <w:r>
              <w:rPr>
                <w:rFonts w:ascii="Arial" w:hAnsi="Arial"/>
                <w:sz w:val="18"/>
              </w:rPr>
              <w:t>—</w:t>
            </w:r>
          </w:p>
        </w:tc>
      </w:tr>
      <w:tr>
        <w:tc>
          <w:tcPr>
            <w:tcW w:type="dxa" w:w="1881"/>
          </w:tcPr>
          <w:p>
            <w:r>
              <w:rPr>
                <w:rFonts w:ascii="Arial" w:hAnsi="Arial"/>
                <w:sz w:val="18"/>
              </w:rPr>
              <w:t>CD14+ monocytes</w:t>
            </w:r>
          </w:p>
        </w:tc>
        <w:tc>
          <w:tcPr>
            <w:tcW w:type="dxa" w:w="1881"/>
          </w:tcPr>
          <w:p>
            <w:r>
              <w:rPr>
                <w:rFonts w:ascii="Arial" w:hAnsi="Arial"/>
                <w:sz w:val="18"/>
              </w:rPr>
              <w:t>0.78</w:t>
            </w:r>
          </w:p>
        </w:tc>
        <w:tc>
          <w:tcPr>
            <w:tcW w:type="dxa" w:w="1881"/>
          </w:tcPr>
          <w:p>
            <w:r>
              <w:rPr>
                <w:rFonts w:ascii="Arial" w:hAnsi="Arial"/>
                <w:sz w:val="18"/>
              </w:rPr>
              <w:t>0.76</w:t>
            </w:r>
          </w:p>
        </w:tc>
        <w:tc>
          <w:tcPr>
            <w:tcW w:type="dxa" w:w="1881"/>
          </w:tcPr>
          <w:p>
            <w:r>
              <w:rPr>
                <w:rFonts w:ascii="Arial" w:hAnsi="Arial"/>
                <w:sz w:val="18"/>
              </w:rPr>
              <w:t>0.55</w:t>
            </w:r>
          </w:p>
        </w:tc>
        <w:tc>
          <w:tcPr>
            <w:tcW w:type="dxa" w:w="1881"/>
          </w:tcPr>
          <w:p>
            <w:r>
              <w:rPr>
                <w:rFonts w:ascii="Arial" w:hAnsi="Arial"/>
                <w:sz w:val="18"/>
              </w:rPr>
              <w:t>—</w:t>
            </w:r>
          </w:p>
        </w:tc>
      </w:tr>
      <w:tr>
        <w:tc>
          <w:tcPr>
            <w:tcW w:type="dxa" w:w="1881"/>
          </w:tcPr>
          <w:p>
            <w:r>
              <w:rPr>
                <w:rFonts w:ascii="Arial" w:hAnsi="Arial"/>
                <w:sz w:val="18"/>
              </w:rPr>
              <w:t>CD4 T cells</w:t>
            </w:r>
          </w:p>
        </w:tc>
        <w:tc>
          <w:tcPr>
            <w:tcW w:type="dxa" w:w="1881"/>
          </w:tcPr>
          <w:p>
            <w:r>
              <w:rPr>
                <w:rFonts w:ascii="Arial" w:hAnsi="Arial"/>
                <w:sz w:val="18"/>
              </w:rPr>
              <w:t>0.67</w:t>
            </w:r>
          </w:p>
        </w:tc>
        <w:tc>
          <w:tcPr>
            <w:tcW w:type="dxa" w:w="1881"/>
          </w:tcPr>
          <w:p>
            <w:r>
              <w:rPr>
                <w:rFonts w:ascii="Arial" w:hAnsi="Arial"/>
                <w:sz w:val="18"/>
              </w:rPr>
              <w:t>0.61</w:t>
            </w:r>
          </w:p>
        </w:tc>
        <w:tc>
          <w:tcPr>
            <w:tcW w:type="dxa" w:w="1881"/>
          </w:tcPr>
          <w:p>
            <w:r>
              <w:rPr>
                <w:rFonts w:ascii="Arial" w:hAnsi="Arial"/>
                <w:sz w:val="18"/>
              </w:rPr>
              <w:t>0.47</w:t>
            </w:r>
          </w:p>
        </w:tc>
        <w:tc>
          <w:tcPr>
            <w:tcW w:type="dxa" w:w="1881"/>
          </w:tcPr>
          <w:p>
            <w:r>
              <w:rPr>
                <w:rFonts w:ascii="Arial" w:hAnsi="Arial"/>
                <w:sz w:val="18"/>
              </w:rPr>
              <w:t>0.09</w:t>
            </w:r>
          </w:p>
        </w:tc>
      </w:tr>
      <w:tr>
        <w:tc>
          <w:tcPr>
            <w:tcW w:type="dxa" w:w="1881"/>
          </w:tcPr>
          <w:p>
            <w:r>
              <w:rPr>
                <w:rFonts w:ascii="Arial" w:hAnsi="Arial"/>
                <w:sz w:val="18"/>
              </w:rPr>
              <w:t>CD8 T cells</w:t>
            </w:r>
          </w:p>
        </w:tc>
        <w:tc>
          <w:tcPr>
            <w:tcW w:type="dxa" w:w="1881"/>
          </w:tcPr>
          <w:p>
            <w:r>
              <w:rPr>
                <w:rFonts w:ascii="Arial" w:hAnsi="Arial"/>
                <w:sz w:val="18"/>
              </w:rPr>
              <w:t>0.70</w:t>
            </w:r>
          </w:p>
        </w:tc>
        <w:tc>
          <w:tcPr>
            <w:tcW w:type="dxa" w:w="1881"/>
          </w:tcPr>
          <w:p>
            <w:r>
              <w:rPr>
                <w:rFonts w:ascii="Arial" w:hAnsi="Arial"/>
                <w:sz w:val="18"/>
              </w:rPr>
              <w:t>0.68</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FCGR3A+ monocytes</w:t>
            </w:r>
          </w:p>
        </w:tc>
        <w:tc>
          <w:tcPr>
            <w:tcW w:type="dxa" w:w="1881"/>
          </w:tcPr>
          <w:p>
            <w:r>
              <w:rPr>
                <w:rFonts w:ascii="Arial" w:hAnsi="Arial"/>
                <w:sz w:val="18"/>
              </w:rPr>
              <w:t>0.74</w:t>
            </w:r>
          </w:p>
        </w:tc>
        <w:tc>
          <w:tcPr>
            <w:tcW w:type="dxa" w:w="1881"/>
          </w:tcPr>
          <w:p>
            <w:r>
              <w:rPr>
                <w:rFonts w:ascii="Arial" w:hAnsi="Arial"/>
                <w:sz w:val="18"/>
              </w:rPr>
              <w:t>0.47</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NK cells</w:t>
            </w:r>
          </w:p>
        </w:tc>
        <w:tc>
          <w:tcPr>
            <w:tcW w:type="dxa" w:w="1881"/>
          </w:tcPr>
          <w:p>
            <w:r>
              <w:rPr>
                <w:rFonts w:ascii="Arial" w:hAnsi="Arial"/>
                <w:sz w:val="18"/>
              </w:rPr>
              <w:t>0.93</w:t>
            </w:r>
          </w:p>
        </w:tc>
        <w:tc>
          <w:tcPr>
            <w:tcW w:type="dxa" w:w="1881"/>
          </w:tcPr>
          <w:p>
            <w:r>
              <w:rPr>
                <w:rFonts w:ascii="Arial" w:hAnsi="Arial"/>
                <w:sz w:val="18"/>
              </w:rPr>
              <w:t>0.76</w:t>
            </w:r>
          </w:p>
        </w:tc>
        <w:tc>
          <w:tcPr>
            <w:tcW w:type="dxa" w:w="1881"/>
          </w:tcPr>
          <w:p>
            <w:r>
              <w:rPr>
                <w:rFonts w:ascii="Arial" w:hAnsi="Arial"/>
                <w:sz w:val="18"/>
              </w:rPr>
              <w:t>—</w:t>
            </w:r>
          </w:p>
        </w:tc>
        <w:tc>
          <w:tcPr>
            <w:tcW w:type="dxa" w:w="1881"/>
          </w:tcPr>
          <w:p>
            <w:r>
              <w:rPr>
                <w:rFonts w:ascii="Arial" w:hAnsi="Arial"/>
                <w:sz w:val="18"/>
              </w:rPr>
              <w:t>—</w:t>
            </w:r>
          </w:p>
        </w:tc>
      </w:tr>
    </w:tbl>
    <w:p>
      <w:r>
        <w:rPr>
          <w:rFonts w:ascii="Arial" w:hAnsi="Arial"/>
          <w:b w:val="0"/>
          <w:color w:val="000000"/>
          <w:sz w:val="22"/>
        </w:rPr>
        <w:t>Table (Note 3.19c). Donor-paired detection power (fraction of 20 replicates significant at one-sided P &lt; 0.05); cells marked — had too few eligible donors.</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3.20 Ratio-Estimator Bias–Variance Characterization (v45)</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r>
        <w:rPr>
          <w:rFonts w:ascii="Arial" w:hAnsi="Arial"/>
          <w:b/>
          <w:color w:val="000000"/>
          <w:sz w:val="22"/>
        </w:rPr>
        <w:t>3.21 Small-Cluster Bootstrap Corrections for Region-Clustered CIs (v45)</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r>
        <w:rPr>
          <w:rFonts w:ascii="Arial" w:hAnsi="Arial"/>
          <w:b/>
          <w:color w:val="000000"/>
          <w:sz w:val="22"/>
        </w:rPr>
        <w:t>3.22 Non-HK-Anchored Neutral Drift Controls (v45)</w:t>
      </w:r>
    </w:p>
    <w:p>
      <w:r>
        <w:rPr>
          <w:rFonts w:ascii="Arial" w:hAnsi="Arial"/>
          <w:b w:val="0"/>
          <w:color w:val="000000"/>
          <w:sz w:val="22"/>
        </w:rPr>
        <w:t>The ground-truth simulation (Note 3.12)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Note 3.12’s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r>
        <w:rPr>
          <w:rFonts w:ascii="Arial" w:hAnsi="Arial"/>
          <w:b/>
          <w:color w:val="000000"/>
          <w:sz w:val="22"/>
        </w:rPr>
        <w:t>3.23 Comparison with Augur Cell-Type Prioritization (v45)</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(Table S1);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Note 3.15 and does not affect the within-metric class comparison.</w:t>
      </w:r>
    </w:p>
    <w:p>
      <w:r>
        <w:rPr>
          <w:rFonts w:ascii="Arial" w:hAnsi="Arial"/>
          <w:b/>
          <w:color w:val="000000"/>
          <w:sz w:val="22"/>
        </w:rPr>
        <w:t>4.6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Additional file 1: Fig. S13.</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br w:type="page"/>
      </w:r>
    </w:p>
    <w:p>
      <w:pPr>
        <w:pStyle w:val="Heading2"/>
      </w:pPr>
      <w:r>
        <w:t>Supplementary Note 5: Post-hoc Coherence Checks (Brain Set-Level Enrichment and TCGA Composition Sensitivity)</w:t>
      </w:r>
    </w:p>
    <w:p>
      <w:r>
        <w:rPr>
          <w:rFonts w:ascii="Arial" w:hAnsi="Arial"/>
          <w:b/>
          <w:color w:val="000000"/>
          <w:sz w:val="22"/>
        </w:rPr>
        <w:t>5.1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r>
        <w:rPr>
          <w:rFonts w:ascii="Arial" w:hAnsi="Arial"/>
          <w:b/>
          <w:color w:val="000000"/>
          <w:sz w:val="22"/>
        </w:rPr>
        <w:t>5.2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v44 update (linear normalization). The composition check was re-run on the linear-normalization pair table of Note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r>
        <w:br w:type="page"/>
      </w:r>
    </w:p>
    <w:p>
      <w:pPr>
        <w:pStyle w:val="Heading2"/>
      </w:pPr>
      <w:r>
        <w:t>Table S1: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Table S2: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Table S3: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Table S3.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w:t>
      </w:r>
    </w:p>
    <w:p>
      <w:r>
        <w:rPr>
          <w:rFonts w:ascii="Arial" w:hAnsi="Arial"/>
          <w:b w:val="0"/>
          <w:color w:val="000000"/>
          <w:sz w:val="22"/>
        </w:rPr>
      </w:r>
    </w:p>
    <w:p>
      <w:pPr>
        <w:pStyle w:val="Heading2"/>
      </w:pPr>
      <w:r>
        <w:t>Table S4: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Table S3 reports all 31,764 pairs with per-cell-type summary statistics, whereas Table S4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