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2"/>
        </w:rPr>
        <w:t>CKI is a Ka/Ks-inspired index quantifying functional divergence in single-cell genomics</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Standard distance metrics conflate baseline variation with functional adaptation in single-cell genomics. Inspired by the Ka/Ks ratio, CKI (Cell-type Ka/Ks-inspired Index) decomposes divergence into a baseline rate k_n (housekeeping genes) and a functional rate k_f (identity genes); ω = k_f/k_n quantifies baseline-normalized functional divergence. In ground-truth simulation, ω rejected neutral housekeeping drift (false-positive rate 0.00, versus 0.55–0.58 for raw JS and cosine; no anchoring artifact) and ranked first for functional-versus-neutral discrimination (AUC = 0.80), with power bounded to ~50–200 cells per donor. We evaluated CKI on mouse, human, pan-cancer (TCGA; exploratory), and brain datasets: calibration fixed an equivalent-population baseline (ω = 7.70, 95% CI [7.37, 8.02]), and brain analysis revealed a 6.10-fold regional gradient across ten non-neuronal classes—an uncorrected upper bound inflated by class-size imbalance (equal-n downsampling: 1.74 [1.64, 1.84]). Per-pair gene selection inflates k_f (median 1.6-fold) yet preserves rankings. CKI is freely available as an open-source Python package.</w:t>
      </w:r>
    </w:p>
    <w:p>
      <w:pPr>
        <w:pStyle w:val="Heading1"/>
        <w:spacing w:before="420" w:after="160"/>
      </w:pPr>
      <w:r>
        <w:rPr>
          <w:rFonts w:ascii="Arial" w:hAnsi="Arial"/>
          <w:color w:val="000000"/>
          <w:sz w:val="28"/>
          <w:b/>
        </w:rPr>
        <w:t>Introduction</w:t>
      </w:r>
    </w:p>
    <w:p>
      <w:pPr>
        <w:spacing w:line="276" w:lineRule="auto" w:after="80"/>
        <w:ind w:firstLine="0"/>
      </w:pPr>
      <w:r>
        <w:rPr>
          <w:rFonts w:ascii="Arial" w:hAnsi="Arial"/>
          <w:b w:val="0"/>
          <w:i w:val="0"/>
          <w:color w:val="000000"/>
          <w:sz w:val="22"/>
        </w:rP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 xml:space="preserve">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w:t>
      </w:r>
      <w:r>
        <w:rPr>
          <w:rFonts w:ascii="Arial" w:hAnsi="Arial"/>
          <w:b w:val="0"/>
          <w:i w:val="0"/>
          <w:color w:val="000000"/>
          <w:sz w:val="22"/>
          <w:vertAlign w:val="superscript"/>
        </w:rPr>
        <w:t>1</w:t>
      </w:r>
      <w:r>
        <w:rPr>
          <w:rFonts w:ascii="Arial" w:hAnsi="Arial"/>
          <w:b w:val="0"/>
          <w:i w:val="0"/>
          <w:color w:val="000000"/>
          <w:sz w:val="22"/>
        </w:rPr>
        <w:t xml:space="preserve">, where donor- and batch-level variation often dominates over cell-type identity. Methods such as Harmony </w:t>
      </w:r>
      <w:r>
        <w:rPr>
          <w:rFonts w:ascii="Arial" w:hAnsi="Arial"/>
          <w:b w:val="0"/>
          <w:i w:val="0"/>
          <w:color w:val="000000"/>
          <w:sz w:val="22"/>
          <w:vertAlign w:val="superscript"/>
        </w:rPr>
        <w:t>2</w:t>
      </w:r>
      <w:r>
        <w:rPr>
          <w:rFonts w:ascii="Arial" w:hAnsi="Arial"/>
          <w:b w:val="0"/>
          <w:i w:val="0"/>
          <w:color w:val="000000"/>
          <w:sz w:val="22"/>
        </w:rPr>
        <w:t xml:space="preserve">, scVI </w:t>
      </w:r>
      <w:r>
        <w:rPr>
          <w:rFonts w:ascii="Arial" w:hAnsi="Arial"/>
          <w:b w:val="0"/>
          <w:i w:val="0"/>
          <w:color w:val="000000"/>
          <w:sz w:val="22"/>
          <w:vertAlign w:val="superscript"/>
        </w:rPr>
        <w:t>3</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remove such nuisance variation </w:t>
      </w:r>
      <w:r>
        <w:rPr>
          <w:rFonts w:ascii="Arial" w:hAnsi="Arial"/>
          <w:b w:val="0"/>
          <w:i w:val="0"/>
          <w:color w:val="000000"/>
          <w:sz w:val="22"/>
          <w:vertAlign w:val="superscript"/>
        </w:rPr>
        <w:t>5</w:t>
      </w:r>
      <w:r>
        <w:rPr>
          <w:rFonts w:ascii="Arial" w:hAnsi="Arial"/>
          <w:b w:val="0"/>
          <w:i w:val="0"/>
          <w:color w:val="000000"/>
          <w:sz w:val="22"/>
        </w:rPr>
        <w:t>, but a key question remains: how much of the difference between two populations reflects functional adaptation rather than neutral drift?</w:t>
      </w:r>
    </w:p>
    <w:p>
      <w:pPr>
        <w:spacing w:line="276" w:lineRule="auto" w:after="80"/>
        <w:ind w:firstLine="0"/>
      </w:pPr>
      <w:r>
        <w:rPr>
          <w:rFonts w:ascii="Arial" w:hAnsi="Arial"/>
          <w:b w:val="0"/>
          <w:i w:val="0"/>
          <w:color w:val="000000"/>
          <w:sz w:val="22"/>
        </w:rPr>
        <w:t xml:space="preserve">This question mirrors one addressed in molecular evolution. The Ka/Ks ratio (dN/dS) distinguishes nonsynonymous changes (Ka, which alter the protein) from synonymous changes (Ks, largely silent) </w:t>
      </w:r>
      <w:r>
        <w:rPr>
          <w:rFonts w:ascii="Arial" w:hAnsi="Arial"/>
          <w:b w:val="0"/>
          <w:i w:val="0"/>
          <w:color w:val="000000"/>
          <w:sz w:val="22"/>
          <w:vertAlign w:val="superscript"/>
        </w:rPr>
        <w:t>6,7</w:t>
      </w:r>
      <w:r>
        <w:rPr>
          <w:rFonts w:ascii="Arial" w:hAnsi="Arial"/>
          <w:b w:val="0"/>
          <w:i w:val="0"/>
          <w:color w:val="000000"/>
          <w:sz w:val="22"/>
        </w:rPr>
        <w:t>,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CKI defines two rates: a baseline divergence rate k_n, estimated from housekeeping (HK) gene expression, and a functional divergence rate k_f, estimated from cell-type identity genes. The ratio ω = k_f/k_n quantifies baseline-normalized functional divergence: values close to the equivalent-population calibration baseline (established empirically within each dataset; see Results) indicate baseline-consistent differences, values far above indicate functional divergence exceeding baseline variation, and values far below indicate strong functional constraint. The scope of ω is bounded by a single central assumption, stated here once and quantified empirically throughout: the HK anchor is valid only where housekeeping expression remains constrained. Functional signal located on HK genes is invisible to ω by construction, and in disease or strong-perturbation contexts the anchor itself shifts—housekeeping dysregulation and composition change in cancer (TCGA, below), IFN-β stimulation of housekeeping genes in the perturbation demonstration (below; simulated adversarial scenarios in Supplementary Note 1)—inflating the denominator and deflating the ratio. In such regimes ω must be read alongside its components, and k_f with a design-matched null is the honest default for ordering claims (Results; limitations are addressed in the Discussion). CKI ω is a heuristic index, not a formal measure of Darwinian selection; interpretation is anchored in the empirical distribution of ω within each analysis rather than in fixed ratio cut-offs or claims about selection regimes (see Discussion).</w:t>
      </w:r>
    </w:p>
    <w:p>
      <w:pPr>
        <w:spacing w:line="276" w:lineRule="auto" w:after="80"/>
        <w:ind w:firstLine="0"/>
      </w:pPr>
      <w:r>
        <w:rPr>
          <w:rFonts w:ascii="Arial" w:hAnsi="Arial"/>
          <w:b w:val="0"/>
          <w:i w:val="0"/>
          <w:color w:val="000000"/>
          <w:sz w:val="22"/>
        </w:rPr>
        <w:t xml:space="preserve">Here, we show that CKI provides a baseline-normalized index of cell-state divergence across four scales. First, we calibrated CKI on Tabula Muris mouse data </w:t>
      </w:r>
      <w:r>
        <w:rPr>
          <w:rFonts w:ascii="Arial" w:hAnsi="Arial"/>
          <w:b w:val="0"/>
          <w:i w:val="0"/>
          <w:color w:val="000000"/>
          <w:sz w:val="22"/>
          <w:vertAlign w:val="superscript"/>
        </w:rPr>
        <w:t>8</w:t>
      </w:r>
      <w:r>
        <w:rPr>
          <w:rFonts w:ascii="Arial" w:hAnsi="Arial"/>
          <w:b w:val="0"/>
          <w:i w:val="0"/>
          <w:color w:val="000000"/>
          <w:sz w:val="22"/>
        </w:rPr>
        <w:t xml:space="preserve">: random splits of the same cell population yield ω above 1 (empirical calibration baseline 7.70, 95% CI [7.37, 8.02]). Second, in Tabula Sapiens human data </w:t>
      </w:r>
      <w:r>
        <w:rPr>
          <w:rFonts w:ascii="Arial" w:hAnsi="Arial"/>
          <w:b w:val="0"/>
          <w:i w:val="0"/>
          <w:color w:val="000000"/>
          <w:sz w:val="22"/>
          <w:vertAlign w:val="superscript"/>
        </w:rPr>
        <w:t>9</w:t>
      </w:r>
      <w:r>
        <w:rPr>
          <w:rFonts w:ascii="Arial" w:hAnsi="Arial"/>
          <w:b w:val="0"/>
          <w:i w:val="0"/>
          <w:color w:val="000000"/>
          <w:sz w:val="22"/>
        </w:rPr>
        <w:t xml:space="preserve">, CKI ω is negatively correlated with all four standard distance metrics; a decomposition analysis showed this association is partly driven by the k_n denominator (k_n is itself strongly positively correlated with the standard metrics), so ω is a composite of numerator and denominator information rather than a fully independent dimension (see Results). Third, applied to TCGA cancer data </w:t>
      </w:r>
      <w:r>
        <w:rPr>
          <w:rFonts w:ascii="Arial" w:hAnsi="Arial"/>
          <w:b w:val="0"/>
          <w:i w:val="0"/>
          <w:color w:val="000000"/>
          <w:sz w:val="22"/>
          <w:vertAlign w:val="superscript"/>
        </w:rPr>
        <w:t>10,11</w:t>
      </w:r>
      <w:r>
        <w:rPr>
          <w:rFonts w:ascii="Arial" w:hAnsi="Arial"/>
          <w:b w:val="0"/>
          <w:i w:val="0"/>
          <w:color w:val="000000"/>
          <w:sz w:val="22"/>
        </w:rPr>
        <w:t xml:space="preserve">, CKI suggested that tumors appear more transcriptionally homogeneous than adjacent non-tumor tissues at bulk resolution (an exploratory observation; see Results for caveats). Fourth, in a human brain single-nucleus atlas </w:t>
      </w:r>
      <w:r>
        <w:rPr>
          <w:rFonts w:ascii="Arial" w:hAnsi="Arial"/>
          <w:b w:val="0"/>
          <w:i w:val="0"/>
          <w:color w:val="000000"/>
          <w:sz w:val="22"/>
          <w:vertAlign w:val="superscript"/>
        </w:rPr>
        <w:t>12</w:t>
      </w:r>
      <w:r>
        <w:rPr>
          <w:rFonts w:ascii="Arial" w:hAnsi="Arial"/>
          <w:b w:val="0"/>
          <w:i w:val="0"/>
          <w:color w:val="000000"/>
          <w:sz w:val="22"/>
        </w:rPr>
        <w:t>, we measured how non-neuronal cell classes differ across brain regions, quantifying a 6.10-fold regional differentiation gradient and screening for anomalously similar cell-type/region-pair candidates; because no candidate survived false-discovery-rate correction under a strict block-shuffle null preserving the cell-type-by-region design, we present the brain candidates as hypothesis-generating signals for future lineage-tracing validation. The human, pan-cancer, and brain analyses are complemented by mouse Tabula Muris calibration and ground-truth simulation analyses throughout.</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(mean expression across its cells). The computation has three steps, all using the same metric (Jensen-Shannon divergence) on the same expression matrix, so the ratio is internally calibrated (Fig. 1).</w:t>
      </w:r>
    </w:p>
    <w:p>
      <w:pPr>
        <w:spacing w:line="276" w:lineRule="auto" w:after="80"/>
        <w:ind w:firstLine="0"/>
      </w:pPr>
      <w:r>
        <w:rPr>
          <w:rFonts w:ascii="Arial" w:hAnsi="Arial"/>
          <w:b w:val="0"/>
          <w:i w:val="0"/>
          <w:color w:val="000000"/>
          <w:sz w:val="22"/>
        </w:rPr>
        <w:t xml:space="preserve">Step 1: Compute the baseline divergence rate k_n. We restrict the pseudobulk vectors to housekeeping (HK) gene indices and add a +1 pseudo-count followed by L1 normalization; k_n is the JS divergence between the two HK-gene probability distributions. Because HK genes should not differ systematically between biologically equivalent populations </w:t>
      </w:r>
      <w:r>
        <w:rPr>
          <w:rFonts w:ascii="Arial" w:hAnsi="Arial"/>
          <w:b w:val="0"/>
          <w:i w:val="0"/>
          <w:color w:val="000000"/>
          <w:sz w:val="22"/>
          <w:vertAlign w:val="superscript"/>
        </w:rPr>
        <w:t>13</w:t>
      </w:r>
      <w:r>
        <w:rPr>
          <w:rFonts w:ascii="Arial" w:hAnsi="Arial"/>
          <w:b w:val="0"/>
          <w:i w:val="0"/>
          <w:color w:val="000000"/>
          <w:sz w:val="22"/>
        </w:rPr>
        <w:t>, k_n captures baseline noise: technical variation, stochastic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(Tabula Muris full pairwise matrix, Supplementary Fig. 1), identity genes are the top-2,000 highly variable genes (HVGs; Seurat flavor), excluding HK genes; for the mouse pilot calibration and all other analyses (human Tabula Sapiens, TCGA, brain atlas), k_f uses the top-200 differentially expressed genes (ranked by absolute mean difference) for that specific pair and k_n is computed per pair on the shared HK gene set, HK genes excluded throughout. k_f is the JS divergence between the two identity-gene probability distributions. Because the k_f genes are selected per pair from the observed difference itself, k_f magnitudes are inflated relative to non-circular selection (median 1.61-fold versus a leave-pair-out panel) while rankings are essentially preserved (Spearman ρ ≈ 0.92–0.94 across schemes); absolute k_f—and therefore absolute ω—are upper-bound, scheme-specific estimates (fixed gene-panel ablation, Results).</w:t>
      </w:r>
    </w:p>
    <w:p>
      <w:pPr>
        <w:spacing w:line="276" w:lineRule="auto" w:after="80"/>
        <w:ind w:firstLine="0"/>
      </w:pPr>
      <w:r>
        <w:rPr>
          <w:rFonts w:ascii="Arial" w:hAnsi="Arial"/>
          <w:b w:val="0"/>
          <w:i w:val="0"/>
          <w:color w:val="000000"/>
          <w:sz w:val="22"/>
        </w:rPr>
        <w:t>Step 3: ω = k_f/k_n. For statistical inference, we perform permutation testing (B = 1,000 for all datasets): group labels are permuted (cell labels for mouse and human, sample labels for TCGA) or, for the brain, library-to-region assignments are block-shuffled, and ω is recalculated to generate a null distribution. The empirical P-value is P = (count(ω_null ≥ ω_obs) + 1)/(B + 1), effect size is reported as standardized effect size (SES = (ω_obs − μ_null) / σ_null), and Benjamini-Hochberg FDR correction is applied within each dataset; larger-scale analyses are supplemented with non-parametric tests and descriptive statistics.</w:t>
      </w:r>
    </w:p>
    <w:p>
      <w:pPr>
        <w:spacing w:line="276" w:lineRule="auto" w:after="80"/>
        <w:ind w:firstLine="0"/>
      </w:pPr>
      <w:r>
        <w:rPr>
          <w:rFonts w:ascii="Arial" w:hAnsi="Arial"/>
          <w:b w:val="0"/>
          <w:i w:val="0"/>
          <w:color w:val="000000"/>
          <w:sz w:val="22"/>
        </w:rPr>
        <w:t>A parameter sweep on Tabula Muris mouse data (703 cell-type pairs across 6 organs) showed that adding pathway enrichment scores to k_f does not improve performance: the identity-only configuration (w_identity = 1.0, w_pathway = 0.0) achieved the best cell-type discrimination (AUC = 0.786, Supplementary Fig. 1; Supplementary Table 1). Partitioning expression into constrained baseline and identity gene sets suffices, without external pathway databases.</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 xml:space="preserve">We calibrated CKI on the Tabula Muris FACS dataset </w:t>
      </w:r>
      <w:r>
        <w:rPr>
          <w:rFonts w:ascii="Arial" w:hAnsi="Arial"/>
          <w:b w:val="0"/>
          <w:i w:val="0"/>
          <w:color w:val="000000"/>
          <w:sz w:val="22"/>
          <w:vertAlign w:val="superscript"/>
        </w:rPr>
        <w:t>8</w:t>
      </w:r>
      <w:r>
        <w:rPr>
          <w:rFonts w:ascii="Arial" w:hAnsi="Arial"/>
          <w:b w:val="0"/>
          <w:i w:val="0"/>
          <w:color w:val="000000"/>
          <w:sz w:val="22"/>
        </w:rPr>
        <w:t xml:space="preserve"> (SmartSeq2, 15,057 cells, 22,308 genes, 6 organs). Housekeeping genes were loaded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(mouse ortholog column). For the full pairwise matrix (703 pairs, Supplementary Fig. 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 (Fig. 2).</w:t>
      </w:r>
    </w:p>
    <w:p>
      <w:pPr>
        <w:spacing w:line="276" w:lineRule="auto" w:after="80"/>
        <w:ind w:firstLine="0"/>
      </w:pPr>
      <w:r>
        <w:rPr>
          <w:rFonts w:ascii="Arial" w:hAnsi="Arial"/>
          <w:b w:val="0"/>
          <w:i w:val="0"/>
          <w:color w:val="000000"/>
          <w:sz w:val="22"/>
        </w:rPr>
        <w:t>We performed control comparisons in which we randomly split the same cell population into two halves, across six FACS control populations (Fig. 2a). The initial calibration used one split per population (six control comparisons; mean ω 6.67, median 6.46, CV ≈ 52%), indicating substantial baseline variability. Repeating split-half 50 times per population (300 ω values) stabilized the baseline at mean ω = 7.70 (SD of replicate means 1.15, 95% CI [7.37, 8.02]); the legacy six-split estimate (6.67) is consistent, the difference attributable to single-split noise. No control comparison reached significance (all P &gt; 0.05, one-sided permutation test): CKI recognizes biologically equivalent populations as having no functional divergence—though formal equivalence testing (TOST) would give stronger evidence; the 50-replicate calibration now bounds the precision of the calibration factor (ω_cal = ω / 7.70).</w:t>
      </w:r>
    </w:p>
    <w:p>
      <w:pPr>
        <w:spacing w:line="276" w:lineRule="auto" w:after="80"/>
        <w:ind w:firstLine="0"/>
      </w:pPr>
      <w:r>
        <w:rPr>
          <w:rFonts w:ascii="Arial" w:hAnsi="Arial"/>
          <w:b w:val="0"/>
          <w:i w:val="0"/>
          <w:color w:val="000000"/>
          <w:sz w:val="22"/>
        </w:rPr>
        <w:t>Beyond controls, ω values increased monotonically with biological distance (Fig. 2b, c). Same cell type across different organs (S category: mean ω = 21.31, n = 4 pairs) had lower ω than different cell types within the same organ (D category: mean ω = 43.19, n = 3 pairs). With only 2–4 pairs per category we report observed ranges (S: 8.8–42.8; D: 30.1–61.7; X: 23.0–31.6) and read category means as calibration-scale estimates, not precise effect sizes. Component analysis confirmed k_f as the driver: from controls to inter-cell-type comparisons, k_f rose roughly 400-fold (mean 0.0015 → 0.63–0.68), while k_n rose only 72–118-fold (0.00022 → 0.016–0.026). CKI thus measures functional divergence, not total difference.</w:t>
      </w:r>
    </w:p>
    <w:p>
      <w:pPr>
        <w:spacing w:line="276" w:lineRule="auto" w:after="80"/>
        <w:ind w:firstLine="0"/>
      </w:pPr>
      <w:r>
        <w:rPr>
          <w:rFonts w:ascii="Arial" w:hAnsi="Arial"/>
          <w:b w:val="0"/>
          <w:i w:val="0"/>
          <w:color w:val="000000"/>
          <w:sz w:val="22"/>
        </w:rPr>
        <w:t>Because the empirical baseline (ω = 7.70, 95% CI [7.37, 8.02]; 50 split-half replicates across six control populations) deviates substantially from the theoretical ideal (ω = 1), we introduce a calibrated omega, ω_cal = ω_obs / 7.70, reported to at most two significant figures as order-of-magnitude estimates. Under this calibration the brain global mean becomes ≈ 5 (raw 38.55), astrocytes—the most regionally divergent class—≈ 11 (raw 82.75), and the most constrained classes ≈ 1.8 (raw 13.56). Scheme-matched split-half calibration inside the brain atlas (29 populations; B = 50 splits) gave an internal baseline of 9.73 (95% CI [9.03, 10.53]), ~1.3-fold above the mouse-derived factor, so the mouse calibration overstates brain ω_cal (brain-internal: global mean ≈ 4.0, astrocytes ≈ 8.5, Bergmann glia ≈ 1.4). In Tabula Sapiens the internal baseline was 7.67 (95% CI [7.39, 8.00]), inside the mouse-derived CI: the mouse factor transfers to Tabula Sapiens but not to the brain atlas—ω_cal is dataset-relative, not universal. Class-specific split-half baselines from the same 29 populations (range 7.58–12.52, a 1.65-fold spread) address the residual between-class heterogeneity: under per-class baselines the astrocyte-to-Bergmann-glia gradient is 5.99 (95% CI [4.43, 7.69] under a studentized bootstrap-t region-clustered bootstrap, which attains nominal coverage at 6–7 clusters where the earlier percentile interval [4.12, 9.18] under-covers; Supplementary Note 2), essentially unchanged (the two classes’ baselines nearly coincide, 9.26 vs 9.08), while calibrated levels compress (astrocytes ω_cal = 8.9; Bergmann glia ω_cal = 1.49, joint 95% CI [0.99, 2.12], no longer excluding 1). With the same correction, Bergmann glia’s class-mean CI widens to [5.76, 28.59] (was [8.49, 19.52]): the claim that Bergmann glia diverges above its class baseline (9.08) does not survive and is downgraded to a qualitative statement—cross-region ω is elevated in absolute terms but not separable from baseline at 7 regions (Supplementary Note 3). A ratio-estimator audit confirms the calibration absorbs ratio bias: under the split-half null E[k_f/k_n] exceeds E[k_f]/E[k_n] by a median +0.2% per class × region group (worst bin k_n &lt; 10⁻⁴: +6.5%), and the gradient is robust to the summary statistic (6.10 mean, 6.00 median, 6.09 trimmed) and to excluding near-zero-k_n pairs (Supplementary Note 4). We recommend per-class calibration for within-dataset class contrasts; calibrated values accompany raw ω in all key results (Supplementary Fig. 2), and calibrate_omega() is available in the CKI package.</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 xml:space="preserve">We extended CKI to the Tabula Sapiens human atlas </w:t>
      </w:r>
      <w:r>
        <w:rPr>
          <w:rFonts w:ascii="Arial" w:hAnsi="Arial"/>
          <w:b w:val="0"/>
          <w:i w:val="0"/>
          <w:color w:val="000000"/>
          <w:sz w:val="22"/>
          <w:vertAlign w:val="superscript"/>
        </w:rPr>
        <w:t>9</w:t>
      </w:r>
      <w:r>
        <w:rPr>
          <w:rFonts w:ascii="Arial" w:hAnsi="Arial"/>
          <w:b w:val="0"/>
          <w:i w:val="0"/>
          <w:color w:val="000000"/>
          <w:sz w:val="22"/>
        </w:rPr>
        <w:t xml:space="preserve"> (108,136 cells; 102 cell-type entries, 99 of which passed the pairwise-analysis filters and contributed 4,851 pairs across six organs). We used the same hybrid scheme as the mouse pilot, with HK genes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(human column) (Fig. 3).</w:t>
      </w:r>
    </w:p>
    <w:p>
      <w:pPr>
        <w:spacing w:line="276" w:lineRule="auto" w:after="80"/>
        <w:ind w:firstLine="0"/>
      </w:pPr>
      <w:r>
        <w:rPr>
          <w:rFonts w:ascii="Arial" w:hAnsi="Arial"/>
          <w:b w:val="0"/>
          <w:i w:val="0"/>
          <w:color w:val="000000"/>
          <w:sz w:val="22"/>
        </w:rPr>
        <w:t>Human ω values ranged from 1.35 to 87.69 (mean 21.61, median 19.65, n = 4,851 pairs). We refrain from comparing these absolute magnitudes with the mouse pilot X-category mean (n = 2 pairs on a different dataset scale); cross-dataset ω comparisons are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We computed CKI ω and four standard metrics (raw JS divergence, Spearman distance, cosine distance, marker Jaccard distance) on all 4,851 human cell-type pairs. CKI ω was negatively correlated with all four standard metrics (Spearman r = −0.36 to −0.46, all P &lt; 0.001), whereas the four standard metrics formed a tight positive cluster (pairwise r = 0.57–0.93). Because ω = k_f/k_n is a ratio, a negative correlation can arise mechanically when the denominator k_n is itself positively correlated with those metrics. Decomposing the association: k_f was positively correlated with the standard metrics (r = +0.43 to +0.72) and k_n more strongly so (r = +0.69 to +0.81), and conditional on k_n the correlation between ω and each standard metric became positive in all four cases (partial r = +0.11 to +0.54, all P &lt; 1 × 10⁻¹⁴). The negative raw correlation is thus partly a ratio artifact of the k_n denominator: ω combines k_f and k_n into a composite signal whose value lies in normalizing functional divergence against a population-specific baseline rather than in statistical independence from existing metrics.</w:t>
      </w:r>
    </w:p>
    <w:p>
      <w:pPr>
        <w:spacing w:before="420" w:after="160"/>
      </w:pPr>
      <w:r>
        <w:rPr>
          <w:rFonts w:ascii="Arial" w:hAnsi="Arial"/>
          <w:b/>
          <w:sz w:val="22"/>
        </w:rPr>
        <w:t>Table 1. Classification AUC (area under the ROC curve) of five metrics on Tabula Sapiens (99 of 102 cell-type entries analyzed;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0.849</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ω</w:t>
            </w:r>
          </w:p>
        </w:tc>
        <w:tc>
          <w:tcPr>
            <w:tcW w:type="dxa" w:w="4703"/>
          </w:tcPr>
          <w:p>
            <w:r>
              <w:t>0.680</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0.680, ranked 5th of 5 methods; Table 1). The pair-level bootstrap 95% CI ([0.609, 0.745], B = 2,000) widens to [0.540, 0.804] under cell-type-entry clustering: the classification advantage is weak and resampling-unit dependent. The lower ranking is expected by design: CKI down-weights shared HK patterns to isolate functional divergence, trading global-identity sensitivity for identity-gene divergence. Critically, CKI was the only metric where same-organ different-cell-type pairs had higher values than different-organ different-cell-type pairs (mean ω 24.87, n = 1,038 vs. 20.80, n = 3,754; Mann-Whitney U, P &lt; 0.001); all four standard metrics showed the opposite pattern. A component decomposition tempers the reversal’s functional reading: same-organ pairs have indistinguishable k_f (0.247 vs. 0.250, P = 0.60) but lower k_n (0.0130 vs. 0.0148, P = 3.0 × 10⁻¹⁶), contributing +0.176 on the log scale (factor 1.19)—essentially all of the reversal. The reversal therefore indicates a more stable housekeeping baseline within organs, not greater functional specialization of same-organ cell types.</w:t>
      </w:r>
    </w:p>
    <w:p>
      <w:pPr>
        <w:pStyle w:val="Heading2"/>
        <w:spacing w:before="420" w:after="160"/>
      </w:pPr>
      <w:r>
        <w:rPr>
          <w:rFonts w:ascii="Arial" w:hAnsi="Arial"/>
          <w:color w:val="000000"/>
          <w:sz w:val="24"/>
          <w:b/>
        </w:rPr>
        <w:t>Ground-truth simulation: specificity versus sensitivity</w:t>
      </w:r>
    </w:p>
    <w:p>
      <w:pPr>
        <w:spacing w:line="276" w:lineRule="auto" w:after="80"/>
        <w:ind w:firstLine="0"/>
      </w:pPr>
      <w:r>
        <w:rPr>
          <w:rFonts w:ascii="Arial" w:hAnsi="Arial"/>
          <w:b w:val="0"/>
          <w:i w:val="0"/>
          <w:color w:val="000000"/>
          <w:sz w:val="22"/>
        </w:rPr>
        <w:t>No real dataset provides pairs with known functional divergence, so we built a semi-synthetic ground truth by injecting known perturbations into a real background (Tabula Muris FACS marrow B cells; both groups resampled from the same cell type, so true pre-injection divergence is zero; Methods). Under pure neutral housekeeping drift, raw JS and cosine exceeded their null thresholds in 55% and 58% of replicates, whereas ω produced none (2% under global overdispersion; pooled neutral replicates: ω 2 of 250, Clopper-Pearson 95% CI [0.001, 0.029]; raw JS 0.553 [0.470, 0.635]; cosine 0.580 [0.497, 0.660]). Conversely, detecting an injected functional module required strong signals: at δ = 1 (twofold shift on 200 genes) ω detected none of 150 replicates (k_f alone 2; raw JS 99%; cosine 67%); only at δ = 2 did ω reach 13%. This insensitivity is structural: per-pair top-200 selection saturates with noise even under the null (median baseline k_f = 0.025), so weak shifts do not lift k_f above the selection floor—simulation-level confirmation that k_f is an upper-bound estimator. When signal and neutral drift co-occurred (δ = 0.5, η = 0.25–1), ω detection was further suppressed by the inflated denominator, whereas cosine and raw JS rose from 14% to 100% because they count neutral drift as divergence. Because the neutral-drift null is itself HK-defined—CKI’s own anchoring assumption—two adversarial scenarios quantify the boundary (Supplementary Note 1). With the module placed on HK genes, ω detected none (rate 0.000 at every δ ≥ 0.25; k_n itself fired at 0.61–1.00): ω is structurally blind to functional change on its anchor genes. Conversely, under expression-matched low-variance non-HK drift (N1 control), ω stayed at its calibrated false-positive rate (0.000–0.067 across η) while raw JS and cosine inflated to 0.81–1.00 at moderate-to-strong drift: the ratio cancels global compositional drift wherever it acts, so ω’s specificity is not an HK-anchoring artifact (Supplementary Note 5).</w:t>
      </w:r>
    </w:p>
    <w:p>
      <w:pPr>
        <w:spacing w:line="276" w:lineRule="auto" w:after="80"/>
        <w:ind w:firstLine="0"/>
      </w:pPr>
      <w:r>
        <w:rPr>
          <w:rFonts w:ascii="Arial" w:hAnsi="Arial"/>
          <w:b w:val="0"/>
          <w:i w:val="0"/>
          <w:color w:val="000000"/>
          <w:sz w:val="22"/>
        </w:rPr>
        <w:t>Integrating specificity and sensitivity, ω best discriminated functional (δ ≥ 0.25) from neutral perturbations (AUC = 0.80, versus 0.72 for k_f alone, 0.64 for raw JS, 0.58 for cosine, and 0.21 for k_n alone; bootstrap 95% CI 0.804 [0.777, 0.831], the advantage over k_f holding in 100% of resamples): the apparent power of the standard metrics is purchased with false positives on neutral drift. The ratio construction also conferred robustness to technical asymmetry: under a fourfold cell-count imbalance, ω changed by −32% while k_f inflated by +67% and cosine by +108%, and neither 30% dropout nor a twofold depth difference produced a systematic shift. These results delimit the intended use of ω: a specificity-first screen whose construction rejects neutral drift, at the cost of bounded power for weak-to-moderate functional signals (Supplementary Note 1). That power bound is background-dependent: the second background below has a lower k_f selection floor (median baseline k_f 0.011 versus 0.025), and at δ = 1 ω detection reached 0.91 there versus 0.00 in marrow.</w:t>
      </w:r>
    </w:p>
    <w:p>
      <w:pPr>
        <w:spacing w:line="276" w:lineRule="auto" w:after="80"/>
        <w:ind w:firstLine="0"/>
      </w:pPr>
      <w:r>
        <w:rPr>
          <w:rFonts w:ascii="Arial" w:hAnsi="Arial"/>
          <w:b w:val="0"/>
          <w:i w:val="0"/>
          <w:color w:val="000000"/>
          <w:sz w:val="22"/>
        </w:rPr>
        <w:t>The entire simulation was repeated in a second Tabula Muris FACS background—skin keratinocyte stem cells (1,371 cells; epithelial lineage)—with the identical design (1,750 replicates; Methods). The ω advantage was fully reproduced: AUC(ω) = 0.908 versus AUC(k_f) = 0.859, with the same metric ranking in both backgrounds and ω AUC gains over k_f of +0.088 (marrow) and +0.049 (skin). Limitations replicated too: under strong confounding (δ = 0.5, η ≥ 0.25) both ω and k_f fell below threshold, and under the fourfold imbalance k_f retained higher power (0.98–1.00 versus 0.04–0.20), because the ratio adds k_n denominator variance—the flip side of its neutral-drift immunity. The advantage of ω thus lies in discriminating functional signal from neutral drift, not in raw detection power for uncontaminated signals.</w:t>
      </w:r>
    </w:p>
    <w:p>
      <w:pPr>
        <w:pStyle w:val="Heading2"/>
        <w:spacing w:before="420" w:after="160"/>
      </w:pPr>
      <w:r>
        <w:rPr>
          <w:rFonts w:ascii="Arial" w:hAnsi="Arial"/>
          <w:color w:val="000000"/>
          <w:sz w:val="24"/>
          <w:b/>
        </w:rPr>
        <w:t>Real perturbation demonstration: IFN-β-stimulated PBMCs</w:t>
      </w:r>
    </w:p>
    <w:p>
      <w:pPr>
        <w:spacing w:line="276" w:lineRule="auto" w:after="80"/>
        <w:ind w:firstLine="0"/>
      </w:pPr>
      <w:r>
        <w:rPr>
          <w:rFonts w:ascii="Arial" w:hAnsi="Arial"/>
          <w:b w:val="0"/>
          <w:i w:val="0"/>
          <w:color w:val="000000"/>
          <w:sz w:val="22"/>
        </w:rPr>
        <w:t xml:space="preserve">How ω behaves on a real perturbation whose effect on the housekeeping anchor is unknown was tested on peripheral blood mononuclear cells from eight donors, control versus 6-hour IFN-β stimulation </w:t>
      </w:r>
      <w:r>
        <w:rPr>
          <w:rFonts w:ascii="Arial" w:hAnsi="Arial"/>
          <w:b w:val="0"/>
          <w:i w:val="0"/>
          <w:color w:val="000000"/>
          <w:sz w:val="22"/>
          <w:vertAlign w:val="superscript"/>
        </w:rPr>
        <w:t>14</w:t>
      </w:r>
      <w:r>
        <w:rPr>
          <w:rFonts w:ascii="Arial" w:hAnsi="Arial"/>
          <w:b w:val="0"/>
          <w:i w:val="0"/>
          <w:color w:val="000000"/>
          <w:sz w:val="22"/>
        </w:rPr>
        <w:t xml:space="preserve"> (24,413 cells, six cell types; pseudobulk per donor and condition; Methods). Because the two conditions were captured in separate 10x lanes, condition is fully confounded with lane for every metric; we therefore read the analysis as a relative architecture demonstration, not an absolute detection claim. Under that reading, the perturbation was visible at the ω level in all six cell types: median within-donor stimulated-versus-control ω exceeded median donor-versus-donor ω by 1.1–2.0-fold (1.8–3.4-fold above the split-half baseline); the within-donor permutation test reached raw P &lt; 0.05 in 15 of 37 tests (no multiplicity correction; the aggregate excess over the ~2 of 37 expected under the global null is informative, individual tests are not). However, k_f alone separated perturbation from donor drift as well or better (rank AUC: ω 0.55–0.92, k_f 0.74–1.00, raw JS 0.79–1.00); in CD14+ monocytes ω AUC fell to 0.55 while k_f retained 0.98. The components are consistent with the anchor-visibility mechanism—stimulation raises housekeeping expression itself (median k_n rises 1.2–5.7-fold)—so the denominator inflates and partially cancels the functional signal, most strongly in monocytes. The demonstration thus supports, within a lane-confounded design, the anchor-visibility boundary in the decision rules (when the perturbation touches the anchor, the ratio deflates and k_f-only with a design-matched null is the more honest statistic), while ω tracks real perturbation above donor drift when the anchor is unaffected (Supplementary Fig. 3; Supplementary Note 6).</w:t>
      </w:r>
    </w:p>
    <w:p>
      <w:pPr>
        <w:pStyle w:val="Heading2"/>
        <w:spacing w:before="420" w:after="160"/>
      </w:pPr>
      <w:r>
        <w:rPr>
          <w:rFonts w:ascii="Arial" w:hAnsi="Arial"/>
          <w:color w:val="000000"/>
          <w:sz w:val="24"/>
          <w:b/>
        </w:rPr>
        <w:t>Benchmarking against perturbation-response metrics</w:t>
      </w:r>
    </w:p>
    <w:p>
      <w:pPr>
        <w:spacing w:line="276" w:lineRule="auto" w:after="80"/>
        <w:ind w:firstLine="0"/>
      </w:pPr>
      <w:r>
        <w:rPr>
          <w:rFonts w:ascii="Arial" w:hAnsi="Arial"/>
          <w:b w:val="0"/>
          <w:i w:val="0"/>
          <w:color w:val="000000"/>
          <w:sz w:val="22"/>
        </w:rPr>
        <w:t xml:space="preserve">We benchmarked CKI against MELD (v1.0.2) and scDist on the Kang IFN-β dataset </w:t>
      </w:r>
      <w:r>
        <w:rPr>
          <w:rFonts w:ascii="Arial" w:hAnsi="Arial"/>
          <w:b w:val="0"/>
          <w:i w:val="0"/>
          <w:color w:val="000000"/>
          <w:sz w:val="22"/>
          <w:vertAlign w:val="superscript"/>
        </w:rPr>
        <w:t>14</w:t>
      </w:r>
      <w:r>
        <w:rPr>
          <w:rFonts w:ascii="Arial" w:hAnsi="Arial"/>
          <w:b w:val="0"/>
          <w:i w:val="0"/>
          <w:color w:val="000000"/>
          <w:sz w:val="22"/>
        </w:rPr>
        <w:t xml:space="preserve"> (GEO: GSE96583); because scDist is R-only, we implemented a Python approximation (per-PC condition fixed-effect regression with donor covariates; distance = √Σβ²λ), labelled as such below. CKI and MELD agreed on effect direction in 6 of 6 cell types; MELD’s within-type separation was near-saturated (AUC 0.997–0.9998), leaving no gradient to compare, and per-type rankings were effectively unrelated (ρ ≤ 0.77): direction agrees, ordering does not. In an additive mean-shift simulation (fold changes of 2, 4, and 8 on 100 or 500 genes; 20 replicates), MELD and the scDist approximation detected every configuration (sensitivity 1.00; false-positive rates ≤ 0.05), whereas CKI ω rose from AUC 0.52 to 0.79 as the shift grew on 100 genes but collapsed to 0.05–0.13 on 500 genes—at 500 shifted genes the anchor k_n itself responds (k_n AUC = 1.000) and the ratio is annihilated by its denominator. ω therefore measures divergence in excess of the anchor and is, by design, insensitive to perturbations that move the anchor itself; users seeking maximal detection power for broad perturbations should use MELD, scDist, or CKI’s own k_f component. CKI’s working range is also bounded: donor-paired power falls from 0.67–0.93 at 50 cells per donor per condition to ≈ 0 at 500 and above (operating window ~50–200 cells; limitations are addressed in the Discussion).</w:t>
      </w:r>
    </w:p>
    <w:p>
      <w:pPr>
        <w:pStyle w:val="Heading2"/>
        <w:spacing w:before="420" w:after="160"/>
      </w:pPr>
      <w:r>
        <w:rPr>
          <w:rFonts w:ascii="Arial" w:hAnsi="Arial"/>
          <w:color w:val="000000"/>
          <w:sz w:val="24"/>
          <w:b/>
        </w:rPr>
        <w:t>Fixed-panel ablation: robust rankings, scheme-specific ω</w:t>
      </w:r>
    </w:p>
    <w:p>
      <w:pPr>
        <w:spacing w:line="276" w:lineRule="auto" w:after="80"/>
        <w:ind w:firstLine="0"/>
      </w:pPr>
      <w:r>
        <w:rPr>
          <w:rFonts w:ascii="Arial" w:hAnsi="Arial"/>
          <w:b w:val="0"/>
          <w:i w:val="0"/>
          <w:color w:val="000000"/>
          <w:sz w:val="22"/>
        </w:rPr>
        <w:t>The reference implementation first reproduced the reported landscape exactly (maximum per-pair |Δω| = 6.4 × 10⁻¹³ over all 31,764 pairs). Non-circular panels left rankings essentially untouched: pair-level ω under leave-pair-out correlated with the reported scheme at ρ = 0.937 (0.918 fixed 2,000-gene panel; 0.931 all 5,000 non-HK genes), the ten class means at ρ = 0.99 under leave-pair-out (0.90 and 0.93 fixed and unselected). The astrocyte-to-Bergmann-glia gradient was preserved and, under leave-pair-out, amplified (6.10-fold reported; 6.53-fold leave-pair-out, 7.67-fold fixed panel, 6.57-fold unselected), because non-circular panels deflate ω more strongly in transcriptionally constrained classes. Class-level significance was largely robust under a scheme-matched block-shuffle null (B = 200) with leave-pair-out panels: astrocytes, OPCs, and committed OPCs remained at the permutation floor, fibroblasts remained significant (P = 0.020), vascular cells reached significance (P = 0.035), and the remaining classes stayed non-significant.</w:t>
      </w:r>
    </w:p>
    <w:p>
      <w:pPr>
        <w:spacing w:line="276" w:lineRule="auto" w:after="80"/>
        <w:ind w:firstLine="0"/>
      </w:pPr>
      <w:r>
        <w:rPr>
          <w:rFonts w:ascii="Arial" w:hAnsi="Arial"/>
          <w:b w:val="0"/>
          <w:i w:val="0"/>
          <w:color w:val="000000"/>
          <w:sz w:val="22"/>
        </w:rPr>
        <w:t>The ablation also quantifies what circular selection costs. On the same pairs, the circular panel inflated k_f by a median of 1.61-fold relative to the leave-pair-out panel (IQR 1.27–2.07) and by 6.1- and 7.3-fold relative to the fixed and unselected panels, confirming that reported k_f magnitudes—and therefore absolute ω—are upper-bound estimates whose scale is scheme-specific (grand mean 38.55 reported; 26.5 leave-pair-out; 6.5 fixed; 5.3 unselected). Rank-based conclusions are robust (the multiplicative-residual ranking underlying the region-association screen correlated at ρ = 0.86–0.88 across schemes), but absolute thresholds do not transfer: the tier cutoffs (ω &lt; 15/25/35) are calibrated to the reported scheme’s inflated scale, so cross-scheme comparisons must use ranks (Supplementary Note 7).</w:t>
      </w:r>
    </w:p>
    <w:p>
      <w:pPr>
        <w:pStyle w:val="Heading2"/>
        <w:spacing w:before="420" w:after="160"/>
      </w:pPr>
      <w:r>
        <w:rPr>
          <w:rFonts w:ascii="Arial" w:hAnsi="Arial"/>
          <w:color w:val="000000"/>
          <w:sz w:val="24"/>
          <w:b/>
        </w:rPr>
        <w:t>Cancer analysis: apparent tumor homogeneity (exploratory)</w:t>
      </w:r>
    </w:p>
    <w:p>
      <w:pPr>
        <w:spacing w:line="276" w:lineRule="auto" w:after="80"/>
        <w:ind w:firstLine="0"/>
      </w:pPr>
      <w:r>
        <w:rPr>
          <w:rFonts w:ascii="Arial" w:hAnsi="Arial"/>
          <w:b w:val="0"/>
          <w:i w:val="0"/>
          <w:color w:val="000000"/>
          <w:sz w:val="22"/>
        </w:rPr>
        <w:t xml:space="preserve">We applied CKI to TCGA bulk RNA-seq data across five cancer types (LUAD, LUSC, LIHC, KIRC, BRCA) </w:t>
      </w:r>
      <w:r>
        <w:rPr>
          <w:rFonts w:ascii="Arial" w:hAnsi="Arial"/>
          <w:b w:val="0"/>
          <w:i w:val="0"/>
          <w:color w:val="000000"/>
          <w:sz w:val="22"/>
          <w:vertAlign w:val="superscript"/>
        </w:rPr>
        <w:t>10,11</w:t>
      </w:r>
      <w:r>
        <w:rPr>
          <w:rFonts w:ascii="Arial" w:hAnsi="Arial"/>
          <w:b w:val="0"/>
          <w:i w:val="0"/>
          <w:color w:val="000000"/>
          <w:sz w:val="22"/>
        </w:rPr>
        <w:t>, totalling 3,596 samples. We asked a simple question: when cancer develops, how much functional transcriptional divergence occurs? CKI provides a principled answer by comparing tumor-tumor (TT), normal-normal (NN), and tumor-normal (TN) ω values (Fig. 4; Supplementary Fig. 4).</w:t>
      </w:r>
    </w:p>
    <w:p>
      <w:pPr>
        <w:spacing w:line="276" w:lineRule="auto" w:after="80"/>
        <w:ind w:firstLine="0"/>
      </w:pPr>
      <w:r>
        <w:rPr>
          <w:rFonts w:ascii="Arial" w:hAnsi="Arial"/>
          <w:b w:val="0"/>
          <w:i w:val="0"/>
          <w:color w:val="000000"/>
          <w:sz w:val="22"/>
        </w:rPr>
        <w:t>The TCGA analysis is exploratory: bulk RNA-seq cannot distinguish genuine transcriptional convergence of tumor cells from cell-composition shifts (tumor purity, stromal and immune infiltration), peritumoral inflammation shared across tumors, or systematic RNA quality differences between tumor and normal specimens; moreover, TCGA "normal" samples are adjacent non-tumor tissues from cancer patients, not healthy donor tissue, so NN comparisons quantify heterogeneity among adjacent non-tumor specimens. With these caveats, a notable observation, at bulk RNA-seq resolution, was that tumors appeared more transcriptionally homogeneous than adjacent non-tumor tissues: in all five cancer types the median NN/TT ω ratio exceeded 1.0. Liver cancer (LIHC) showed the smallest contrast (median NN/TT = 1.23), lung adenocarcinoma (LUAD) the largest (median NN/TT = 2.32), with intermediate values for BRCA (1.51), LUSC (1.77), and KIRC (2.19). Component decomposition shows this ratio is predominantly a denominator effect: tumor-tumor pairs have higher k_f (NN/TT k_f ratio 0.54–0.74) and normal-normal pairs lower k_n (NN/TT k_n ratio 0.27–0.46), so the ω reversal reflects a more stable housekeeping baseline among adjacent non-tumor specimens rather than smaller functional-gene divergence of tumor cells. A four-panel marker composition check (immune, myeloid, stromal, epithelial) with sample-level cluster bootstrap intervals finds the pooled tumor-pair k_n coefficient essentially unchanged after composition adjustment (−0.5%, bootstrap 95% CI [−3.2%, +2.6%]; per cancer type −14% to +34%; linear-normalization sensitivity −0.8% [−4.1%, +2.6%]), so marker-measurable composition explains little of the pooled reversal, although as a noisy proxy it bounds rather than settles the question (Supplementary Note 8). Single-cell or deconvolution-based analyses would be needed to disentangle these alternatives. The probability mapping itself is also robust: recomputing all TCGA analyses under a linear normalization (Methods) left every qualitative conclusion unchanged—the NN/TT reversal in all five cancer types (tumor–normal ω 0.70–0.84 across cancer types, all &lt; 1), near-zero denominator-floor saturation (&lt; 0.1% of pairs), and the severity-gradient directions—with full numerical results in the Supplementary Information.</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0.89–1.54, where paired comparisons are same-patient tumor-normal pairs and the unpaired comparator averages all cross-patient tumor-normal pairs, not (mean ω_TT + mean ω_NN)/2).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 xml:space="preserve">Within cancer types, ω tracked clinical severity in consistent directions: in liver cancer ω was highest in Edmondson G1 and lower in G2–G4 </w:t>
      </w:r>
      <w:r>
        <w:rPr>
          <w:rFonts w:ascii="Arial" w:hAnsi="Arial"/>
          <w:b w:val="0"/>
          <w:i w:val="0"/>
          <w:color w:val="000000"/>
          <w:sz w:val="22"/>
          <w:vertAlign w:val="superscript"/>
        </w:rPr>
        <w:t>15</w:t>
      </w:r>
      <w:r>
        <w:rPr>
          <w:rFonts w:ascii="Arial" w:hAnsi="Arial"/>
          <w:b w:val="0"/>
          <w:i w:val="0"/>
          <w:color w:val="000000"/>
          <w:sz w:val="22"/>
        </w:rPr>
        <w:t xml:space="preserve">; in breast cancer PAM50 subtypes </w:t>
      </w:r>
      <w:r>
        <w:rPr>
          <w:rFonts w:ascii="Arial" w:hAnsi="Arial"/>
          <w:b w:val="0"/>
          <w:i w:val="0"/>
          <w:color w:val="000000"/>
          <w:sz w:val="22"/>
          <w:vertAlign w:val="superscript"/>
        </w:rPr>
        <w:t>16,17</w:t>
      </w:r>
      <w:r>
        <w:rPr>
          <w:rFonts w:ascii="Arial" w:hAnsi="Arial"/>
          <w:b w:val="0"/>
          <w:i w:val="0"/>
          <w:color w:val="000000"/>
          <w:sz w:val="22"/>
        </w:rPr>
        <w:t xml:space="preserve"> ordered Luminal A &gt; Luminal B &gt; HER2-enriched &gt; Basal-like &gt; Normal-like; and in LUAD KRAS-mutant tumors exceeded EGFR-mutant tumors, which exceeded wild-type. All three directions were preserved under the linear probability-mapping recomputation (Methods). Component controls, however, qualify every gradient: the liver and breast orderings reverse or largely reverse under k_f alone, so we present this analysis strictly as an exploratory vignette, denominator-dominated, that describes how the ratio behaves across strata rather than a functional-divergence ordering—the LUAD mutation contrast, which persists under k_f-only, is the partial exception, and the PAM50 gradient may additionally reflect proliferative-fraction differences (Basal-like tumors proliferate fastest). All stratum means, sample sizes, and test statistics are reported in the Supplementary Information.</w:t>
      </w:r>
    </w:p>
    <w:p>
      <w:pPr>
        <w:pStyle w:val="Heading2"/>
        <w:spacing w:before="420" w:after="160"/>
      </w:pPr>
      <w:r>
        <w:rPr>
          <w:rFonts w:ascii="Arial" w:hAnsi="Arial"/>
          <w:color w:val="000000"/>
          <w:sz w:val="24"/>
          <w:b/>
        </w:rPr>
        <w:t>CKI ranks cell types by cross-organ conservation</w:t>
      </w:r>
    </w:p>
    <w:p>
      <w:pPr>
        <w:spacing w:before="420" w:after="160"/>
      </w:pPr>
      <w:r>
        <w:rPr>
          <w:rFonts w:ascii="Arial" w:hAnsi="Arial"/>
          <w:b/>
          <w:sz w:val="22"/>
        </w:rPr>
        <w:t>Table 2. Cross-organ conservation ranking by cell type (Tabula Sapiens, n=59 same-cell-type cross-organ pairs). Well-sampled cell types (n ≥ 5 cross-organ pairs) are ranked first by mean ω; sparsely sampled cell types (n &lt; 5 pairs; SD shown only where n &gt; 1) are listed below the divider, and their rankings should be interpreted as suggestive only. k_f-only controls for this ranking are reported in Supplementary Note 9.</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CD8+ T cell</w:t>
            </w:r>
          </w:p>
        </w:tc>
        <w:tc>
          <w:tcPr>
            <w:tcW w:type="dxa" w:w="2351"/>
          </w:tcPr>
          <w:p>
            <w:r>
              <w:t>9.93</w:t>
            </w:r>
          </w:p>
        </w:tc>
        <w:tc>
          <w:tcPr>
            <w:tcW w:type="dxa" w:w="2351"/>
          </w:tcPr>
          <w:p>
            <w:r>
              <w:t>4.62</w:t>
            </w:r>
          </w:p>
        </w:tc>
        <w:tc>
          <w:tcPr>
            <w:tcW w:type="dxa" w:w="2351"/>
          </w:tcPr>
          <w:p>
            <w:r>
              <w:t>6</w:t>
            </w:r>
          </w:p>
        </w:tc>
      </w:tr>
      <w:tr>
        <w:tc>
          <w:tcPr>
            <w:tcW w:type="dxa" w:w="2351"/>
          </w:tcPr>
          <w:p>
            <w:r>
              <w:t>Plasma cell</w:t>
            </w:r>
          </w:p>
        </w:tc>
        <w:tc>
          <w:tcPr>
            <w:tcW w:type="dxa" w:w="2351"/>
          </w:tcPr>
          <w:p>
            <w:r>
              <w:t>10.20</w:t>
            </w:r>
          </w:p>
        </w:tc>
        <w:tc>
          <w:tcPr>
            <w:tcW w:type="dxa" w:w="2351"/>
          </w:tcPr>
          <w:p>
            <w:r>
              <w:t>2.03</w:t>
            </w:r>
          </w:p>
        </w:tc>
        <w:tc>
          <w:tcPr>
            <w:tcW w:type="dxa" w:w="2351"/>
          </w:tcPr>
          <w:p>
            <w:r>
              <w:t>6</w:t>
            </w:r>
          </w:p>
        </w:tc>
      </w:tr>
      <w:tr>
        <w:tc>
          <w:tcPr>
            <w:tcW w:type="dxa" w:w="2351"/>
          </w:tcPr>
          <w:p>
            <w:r>
              <w:t>Neutrophil</w:t>
            </w:r>
          </w:p>
        </w:tc>
        <w:tc>
          <w:tcPr>
            <w:tcW w:type="dxa" w:w="2351"/>
          </w:tcPr>
          <w:p>
            <w:r>
              <w:t>14.22</w:t>
            </w:r>
          </w:p>
        </w:tc>
        <w:tc>
          <w:tcPr>
            <w:tcW w:type="dxa" w:w="2351"/>
          </w:tcPr>
          <w:p>
            <w:r>
              <w:t>8.49</w:t>
            </w:r>
          </w:p>
        </w:tc>
        <w:tc>
          <w:tcPr>
            <w:tcW w:type="dxa" w:w="2351"/>
          </w:tcPr>
          <w:p>
            <w:r>
              <w:t>6</w:t>
            </w:r>
          </w:p>
        </w:tc>
      </w:tr>
      <w:tr>
        <w:tc>
          <w:tcPr>
            <w:tcW w:type="dxa" w:w="2351"/>
          </w:tcPr>
          <w:p>
            <w:r>
              <w:t>Macrophage</w:t>
            </w:r>
          </w:p>
        </w:tc>
        <w:tc>
          <w:tcPr>
            <w:tcW w:type="dxa" w:w="2351"/>
          </w:tcPr>
          <w:p>
            <w:r>
              <w:t>15.49</w:t>
            </w:r>
          </w:p>
        </w:tc>
        <w:tc>
          <w:tcPr>
            <w:tcW w:type="dxa" w:w="2351"/>
          </w:tcPr>
          <w:p>
            <w:r>
              <w:t>8.46</w:t>
            </w:r>
          </w:p>
        </w:tc>
        <w:tc>
          <w:tcPr>
            <w:tcW w:type="dxa" w:w="2351"/>
          </w:tcPr>
          <w:p>
            <w:r>
              <w:t>15</w:t>
            </w:r>
          </w:p>
        </w:tc>
      </w:tr>
      <w:tr>
        <w:tc>
          <w:tcPr>
            <w:tcW w:type="dxa" w:w="2351"/>
          </w:tcPr>
          <w:p>
            <w:r>
              <w:t>NK cell</w:t>
            </w:r>
          </w:p>
        </w:tc>
        <w:tc>
          <w:tcPr>
            <w:tcW w:type="dxa" w:w="2351"/>
          </w:tcPr>
          <w:p>
            <w:r>
              <w:t>17.28</w:t>
            </w:r>
          </w:p>
        </w:tc>
        <w:tc>
          <w:tcPr>
            <w:tcW w:type="dxa" w:w="2351"/>
          </w:tcPr>
          <w:p>
            <w:r>
              <w:t>3.14</w:t>
            </w:r>
          </w:p>
        </w:tc>
        <w:tc>
          <w:tcPr>
            <w:tcW w:type="dxa" w:w="2351"/>
          </w:tcPr>
          <w:p>
            <w:r>
              <w:t>10</w:t>
            </w:r>
          </w:p>
        </w:tc>
      </w:tr>
      <w:tr>
        <w:tc>
          <w:tcPr>
            <w:tcW w:type="dxa" w:w="2351"/>
          </w:tcPr>
          <w:p>
            <w:r>
              <w:t>— Sparsely sampled (n &lt; 5 pairs): interpret with caution —</w:t>
            </w:r>
          </w:p>
        </w:tc>
        <w:tc>
          <w:tcPr>
            <w:tcW w:type="dxa" w:w="2351"/>
          </w:tcPr>
          <w:p>
            <w:r/>
          </w:p>
        </w:tc>
        <w:tc>
          <w:tcPr>
            <w:tcW w:type="dxa" w:w="2351"/>
          </w:tcPr>
          <w:p>
            <w:r/>
          </w:p>
        </w:tc>
        <w:tc>
          <w:tcPr>
            <w:tcW w:type="dxa" w:w="2351"/>
          </w:tcPr>
          <w:p>
            <w:r/>
          </w:p>
        </w:tc>
      </w:tr>
      <w:tr>
        <w:tc>
          <w:tcPr>
            <w:tcW w:type="dxa" w:w="2351"/>
          </w:tcPr>
          <w:p>
            <w:r>
              <w:t>Hepatocyte</w:t>
            </w:r>
          </w:p>
        </w:tc>
        <w:tc>
          <w:tcPr>
            <w:tcW w:type="dxa" w:w="2351"/>
          </w:tcPr>
          <w:p>
            <w:r>
              <w:t>8.57</w:t>
            </w:r>
          </w:p>
        </w:tc>
        <w:tc>
          <w:tcPr>
            <w:tcW w:type="dxa" w:w="2351"/>
          </w:tcPr>
          <w:p>
            <w:r>
              <w:t>—</w:t>
            </w:r>
          </w:p>
        </w:tc>
        <w:tc>
          <w:tcPr>
            <w:tcW w:type="dxa" w:w="2351"/>
          </w:tcPr>
          <w:p>
            <w:r>
              <w:t>1</w:t>
            </w:r>
          </w:p>
        </w:tc>
      </w:tr>
      <w:tr>
        <w:tc>
          <w:tcPr>
            <w:tcW w:type="dxa" w:w="2351"/>
          </w:tcPr>
          <w:p>
            <w:r>
              <w:t>B cell</w:t>
            </w:r>
          </w:p>
        </w:tc>
        <w:tc>
          <w:tcPr>
            <w:tcW w:type="dxa" w:w="2351"/>
          </w:tcPr>
          <w:p>
            <w:r>
              <w:t>9.36</w:t>
            </w:r>
          </w:p>
        </w:tc>
        <w:tc>
          <w:tcPr>
            <w:tcW w:type="dxa" w:w="2351"/>
          </w:tcPr>
          <w:p>
            <w:r>
              <w:t>—</w:t>
            </w:r>
          </w:p>
        </w:tc>
        <w:tc>
          <w:tcPr>
            <w:tcW w:type="dxa" w:w="2351"/>
          </w:tcPr>
          <w:p>
            <w:r>
              <w:t>1</w:t>
            </w:r>
          </w:p>
        </w:tc>
      </w:tr>
      <w:tr>
        <w:tc>
          <w:tcPr>
            <w:tcW w:type="dxa" w:w="2351"/>
          </w:tcPr>
          <w:p>
            <w:r>
              <w:t>Hematopoietic stem cell</w:t>
            </w:r>
          </w:p>
        </w:tc>
        <w:tc>
          <w:tcPr>
            <w:tcW w:type="dxa" w:w="2351"/>
          </w:tcPr>
          <w:p>
            <w:r>
              <w:t>11.12</w:t>
            </w:r>
          </w:p>
        </w:tc>
        <w:tc>
          <w:tcPr>
            <w:tcW w:type="dxa" w:w="2351"/>
          </w:tcPr>
          <w:p>
            <w:r>
              <w:t>—</w:t>
            </w:r>
          </w:p>
        </w:tc>
        <w:tc>
          <w:tcPr>
            <w:tcW w:type="dxa" w:w="2351"/>
          </w:tcPr>
          <w:p>
            <w:r>
              <w:t>1</w:t>
            </w:r>
          </w:p>
        </w:tc>
      </w:tr>
      <w:tr>
        <w:tc>
          <w:tcPr>
            <w:tcW w:type="dxa" w:w="2351"/>
          </w:tcPr>
          <w:p>
            <w:r>
              <w:t>Smooth muscle cell</w:t>
            </w:r>
          </w:p>
        </w:tc>
        <w:tc>
          <w:tcPr>
            <w:tcW w:type="dxa" w:w="2351"/>
          </w:tcPr>
          <w:p>
            <w:r>
              <w:t>12.22</w:t>
            </w:r>
          </w:p>
        </w:tc>
        <w:tc>
          <w:tcPr>
            <w:tcW w:type="dxa" w:w="2351"/>
          </w:tcPr>
          <w:p>
            <w:r>
              <w:t>—</w:t>
            </w:r>
          </w:p>
        </w:tc>
        <w:tc>
          <w:tcPr>
            <w:tcW w:type="dxa" w:w="2351"/>
          </w:tcPr>
          <w:p>
            <w:r>
              <w:t>1</w:t>
            </w:r>
          </w:p>
        </w:tc>
      </w:tr>
      <w:tr>
        <w:tc>
          <w:tcPr>
            <w:tcW w:type="dxa" w:w="2351"/>
          </w:tcPr>
          <w:p>
            <w:r>
              <w:t>Monocyte</w:t>
            </w:r>
          </w:p>
        </w:tc>
        <w:tc>
          <w:tcPr>
            <w:tcW w:type="dxa" w:w="2351"/>
          </w:tcPr>
          <w:p>
            <w:r>
              <w:t>15.19</w:t>
            </w:r>
          </w:p>
        </w:tc>
        <w:tc>
          <w:tcPr>
            <w:tcW w:type="dxa" w:w="2351"/>
          </w:tcPr>
          <w:p>
            <w:r>
              <w:t>—</w:t>
            </w:r>
          </w:p>
        </w:tc>
        <w:tc>
          <w:tcPr>
            <w:tcW w:type="dxa" w:w="2351"/>
          </w:tcPr>
          <w:p>
            <w:r>
              <w:t>1</w:t>
            </w:r>
          </w:p>
        </w:tc>
      </w:tr>
      <w:tr>
        <w:tc>
          <w:tcPr>
            <w:tcW w:type="dxa" w:w="2351"/>
          </w:tcPr>
          <w:p>
            <w:r>
              <w:t>CD4+ T cell</w:t>
            </w:r>
          </w:p>
        </w:tc>
        <w:tc>
          <w:tcPr>
            <w:tcW w:type="dxa" w:w="2351"/>
          </w:tcPr>
          <w:p>
            <w:r>
              <w:t>16.71</w:t>
            </w:r>
          </w:p>
        </w:tc>
        <w:tc>
          <w:tcPr>
            <w:tcW w:type="dxa" w:w="2351"/>
          </w:tcPr>
          <w:p>
            <w:r>
              <w:t>—</w:t>
            </w:r>
          </w:p>
        </w:tc>
        <w:tc>
          <w:tcPr>
            <w:tcW w:type="dxa" w:w="2351"/>
          </w:tcPr>
          <w:p>
            <w:r>
              <w:t>1</w:t>
            </w:r>
          </w:p>
        </w:tc>
      </w:tr>
      <w:tr>
        <w:tc>
          <w:tcPr>
            <w:tcW w:type="dxa" w:w="2351"/>
          </w:tcPr>
          <w:p>
            <w:r>
              <w:t>Classical monocyte</w:t>
            </w:r>
          </w:p>
        </w:tc>
        <w:tc>
          <w:tcPr>
            <w:tcW w:type="dxa" w:w="2351"/>
          </w:tcPr>
          <w:p>
            <w:r>
              <w:t>17.50</w:t>
            </w:r>
          </w:p>
        </w:tc>
        <w:tc>
          <w:tcPr>
            <w:tcW w:type="dxa" w:w="2351"/>
          </w:tcPr>
          <w:p>
            <w:r>
              <w:t>—</w:t>
            </w:r>
          </w:p>
        </w:tc>
        <w:tc>
          <w:tcPr>
            <w:tcW w:type="dxa" w:w="2351"/>
          </w:tcPr>
          <w:p>
            <w:r>
              <w:t>1</w:t>
            </w:r>
          </w:p>
        </w:tc>
      </w:tr>
      <w:tr>
        <w:tc>
          <w:tcPr>
            <w:tcW w:type="dxa" w:w="2351"/>
          </w:tcPr>
          <w:p>
            <w:r>
              <w:t>Naive B cell</w:t>
            </w:r>
          </w:p>
        </w:tc>
        <w:tc>
          <w:tcPr>
            <w:tcW w:type="dxa" w:w="2351"/>
          </w:tcPr>
          <w:p>
            <w:r>
              <w:t>21.06</w:t>
            </w:r>
          </w:p>
        </w:tc>
        <w:tc>
          <w:tcPr>
            <w:tcW w:type="dxa" w:w="2351"/>
          </w:tcPr>
          <w:p>
            <w:r>
              <w:t>—</w:t>
            </w:r>
          </w:p>
        </w:tc>
        <w:tc>
          <w:tcPr>
            <w:tcW w:type="dxa" w:w="2351"/>
          </w:tcPr>
          <w:p>
            <w:r>
              <w:t>1</w:t>
            </w:r>
          </w:p>
        </w:tc>
      </w:tr>
      <w:tr>
        <w:tc>
          <w:tcPr>
            <w:tcW w:type="dxa" w:w="2351"/>
          </w:tcPr>
          <w:p>
            <w:r>
              <w:t>Intermediate monocyte</w:t>
            </w:r>
          </w:p>
        </w:tc>
        <w:tc>
          <w:tcPr>
            <w:tcW w:type="dxa" w:w="2351"/>
          </w:tcPr>
          <w:p>
            <w:r>
              <w:t>21.78</w:t>
            </w:r>
          </w:p>
        </w:tc>
        <w:tc>
          <w:tcPr>
            <w:tcW w:type="dxa" w:w="2351"/>
          </w:tcPr>
          <w:p>
            <w:r>
              <w:t>—</w:t>
            </w:r>
          </w:p>
        </w:tc>
        <w:tc>
          <w:tcPr>
            <w:tcW w:type="dxa" w:w="2351"/>
          </w:tcPr>
          <w:p>
            <w:r>
              <w:t>1</w:t>
            </w:r>
          </w:p>
        </w:tc>
      </w:tr>
      <w:tr>
        <w:tc>
          <w:tcPr>
            <w:tcW w:type="dxa" w:w="2351"/>
          </w:tcPr>
          <w:p>
            <w:r>
              <w:t>Memory B cell</w:t>
            </w:r>
          </w:p>
        </w:tc>
        <w:tc>
          <w:tcPr>
            <w:tcW w:type="dxa" w:w="2351"/>
          </w:tcPr>
          <w:p>
            <w:r>
              <w:t>22.36</w:t>
            </w:r>
          </w:p>
        </w:tc>
        <w:tc>
          <w:tcPr>
            <w:tcW w:type="dxa" w:w="2351"/>
          </w:tcPr>
          <w:p>
            <w:r>
              <w:t>—</w:t>
            </w:r>
          </w:p>
        </w:tc>
        <w:tc>
          <w:tcPr>
            <w:tcW w:type="dxa" w:w="2351"/>
          </w:tcPr>
          <w:p>
            <w:r>
              <w:t>1</w:t>
            </w:r>
          </w:p>
        </w:tc>
      </w:tr>
      <w:tr>
        <w:tc>
          <w:tcPr>
            <w:tcW w:type="dxa" w:w="2351"/>
          </w:tcPr>
          <w:p>
            <w:r>
              <w:t>Endothelial cell</w:t>
            </w:r>
          </w:p>
        </w:tc>
        <w:tc>
          <w:tcPr>
            <w:tcW w:type="dxa" w:w="2351"/>
          </w:tcPr>
          <w:p>
            <w:r>
              <w:t>26.25</w:t>
            </w:r>
          </w:p>
        </w:tc>
        <w:tc>
          <w:tcPr>
            <w:tcW w:type="dxa" w:w="2351"/>
          </w:tcPr>
          <w:p>
            <w:r>
              <w:t>8.59</w:t>
            </w:r>
          </w:p>
        </w:tc>
        <w:tc>
          <w:tcPr>
            <w:tcW w:type="dxa" w:w="2351"/>
          </w:tcPr>
          <w:p>
            <w:r>
              <w:t>3</w:t>
            </w:r>
          </w:p>
        </w:tc>
      </w:tr>
      <w:tr>
        <w:tc>
          <w:tcPr>
            <w:tcW w:type="dxa" w:w="2351"/>
          </w:tcPr>
          <w:p>
            <w:r>
              <w:t>Erythrocyte</w:t>
            </w:r>
          </w:p>
        </w:tc>
        <w:tc>
          <w:tcPr>
            <w:tcW w:type="dxa" w:w="2351"/>
          </w:tcPr>
          <w:p>
            <w:r>
              <w:t>29.36</w:t>
            </w:r>
          </w:p>
        </w:tc>
        <w:tc>
          <w:tcPr>
            <w:tcW w:type="dxa" w:w="2351"/>
          </w:tcPr>
          <w:p>
            <w:r>
              <w:t>23.07</w:t>
            </w:r>
          </w:p>
        </w:tc>
        <w:tc>
          <w:tcPr>
            <w:tcW w:type="dxa" w:w="2351"/>
          </w:tcPr>
          <w:p>
            <w:r>
              <w:t>3</w:t>
            </w:r>
          </w:p>
        </w:tc>
      </w:tr>
    </w:tbl>
    <w:p>
      <w:pPr>
        <w:spacing w:after="160"/>
      </w:pPr>
    </w:p>
    <w:p>
      <w:pPr>
        <w:spacing w:line="276" w:lineRule="auto" w:after="80"/>
        <w:ind w:firstLine="0"/>
      </w:pPr>
      <w:r>
        <w:rPr>
          <w:rFonts w:ascii="Arial" w:hAnsi="Arial"/>
          <w:b w:val="0"/>
          <w:i w:val="0"/>
          <w:color w:val="000000"/>
          <w:sz w:val="22"/>
        </w:rPr>
        <w:t xml:space="preserve">Of the 4,851 Tabula Sapiens cell-type pairs, 59 are same-cell-type cross-organ comparisons, which ask which cell types maintain their identity regardless of residence and which are shaped by their organ environment (Fig. 5; Table 2; Supplementary Fig. 5). The cross-organ ω ranking reveals a broad spectrum of conservation across 17 cell types, of which only the extremes reproduce under k_f (Supplementary Note 9) (Table 2). Because single-pair means are statistically uninformative, we anchor interpretation on well-sampled cell types (n ≥ 5 pairs; upper block of Table 2): CD8+ T cells (mean ω = 9.93 ± 4.62, n = 6) and Plasma cells (mean ω = 10.20 ± 2.03, n = 6) were the most conserved, followed by Neutrophils and NK cells; Macrophages, the most abundant type (n = 15), showed intermediate conservation (mean 15.49 ± 8.46). At the divergent end, Endothelial cells and Erythrocytes had the highest cross-organ ω, consistent with the organ-specific gene programs of endothelial cells </w:t>
      </w:r>
      <w:r>
        <w:rPr>
          <w:rFonts w:ascii="Arial" w:hAnsi="Arial"/>
          <w:b w:val="0"/>
          <w:i w:val="0"/>
          <w:color w:val="000000"/>
          <w:sz w:val="22"/>
          <w:vertAlign w:val="superscript"/>
        </w:rPr>
        <w:t>18</w:t>
      </w:r>
      <w:r>
        <w:rPr>
          <w:rFonts w:ascii="Arial" w:hAnsi="Arial"/>
          <w:b w:val="0"/>
          <w:i w:val="0"/>
          <w:color w:val="000000"/>
          <w:sz w:val="22"/>
        </w:rPr>
        <w:t>, although both are represented by only n = 3 pairs and this end of the ranking is suggestive only. Sparsely sampled types (n = 1–3 pairs, lower block of Table 2) carry no reliable signal.</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2), because CKI explicitly normalizes: two populations may share highly expressed genes (high Jaccard similarity), yet a low baseline k_n turns modest functional differences into high ω. A k_f-only control qualifies the ranking’s interpretation (Supplementary Note 9): per-cell-type mean ω and mean k_f are only weakly concordant (Spearman r = 0.23, organ-clustered bootstrap 95% CI [−0.08, 0.38], P = 0.37, n = 17 cell types; per-pair r = 0.44, P = 5.7 × 10⁻⁴). CD8+ T cells are most conserved under both ω and k_f and the divergent end is directionally consistent, but the middle does not reproduce (NK cells rank most divergent under ω, second-most conserved under k_f): the cross-organ ranking is a composite of functional divergence and baseline differences.</w:t>
      </w:r>
    </w:p>
    <w:p>
      <w:pPr>
        <w:pStyle w:val="Heading2"/>
        <w:spacing w:before="420" w:after="160"/>
      </w:pPr>
      <w:r>
        <w:rPr>
          <w:rFonts w:ascii="Arial" w:hAnsi="Arial"/>
          <w:color w:val="000000"/>
          <w:sz w:val="24"/>
          <w:b/>
        </w:rPr>
        <w:t>Brain regional analysis reveals divergence gradients</w:t>
      </w:r>
    </w:p>
    <w:p>
      <w:pPr>
        <w:spacing w:line="276" w:lineRule="auto" w:after="80"/>
        <w:ind w:firstLine="0"/>
      </w:pPr>
      <w:r>
        <w:rPr>
          <w:rFonts w:ascii="Arial" w:hAnsi="Arial"/>
          <w:b w:val="0"/>
          <w:i w:val="0"/>
          <w:color w:val="000000"/>
          <w:sz w:val="22"/>
        </w:rPr>
        <w:t xml:space="preserve">We applied CKI to the Siletti et al. human brain single-nucleus atlas </w:t>
      </w:r>
      <w:r>
        <w:rPr>
          <w:rFonts w:ascii="Arial" w:hAnsi="Arial"/>
          <w:b w:val="0"/>
          <w:i w:val="0"/>
          <w:color w:val="000000"/>
          <w:sz w:val="22"/>
          <w:vertAlign w:val="superscript"/>
        </w:rPr>
        <w:t>12</w:t>
      </w:r>
      <w:r>
        <w:rPr>
          <w:rFonts w:ascii="Arial" w:hAnsi="Arial"/>
          <w:b w:val="0"/>
          <w:i w:val="0"/>
          <w:color w:val="000000"/>
          <w:sz w:val="22"/>
        </w:rPr>
        <w:t xml:space="preserve"> (~3.3 million nuclei, 108 regions), asking how much functional divergence separates the same cell type across regions. We focused on 888,263 non-neuronal nuclei in 10 major classes (886,808 passing the ≥ 20-nuclei filter); neurons were excluded because supercluster_term does not resolve neuronal subtypes, violating the same-cell-type assumption. CKI ω was computed for all same-cell-type cross-region comparisons (31,764 pairs total) (Fig. 6; Supplementary Fig. 6; Supplementary Table 3). Vascular cells and fibroblasts are heterogeneous superclusters aggregating multiple subtypes, so their class-level ω values are supercluster averages, not properties of one coherent cell type.</w:t>
      </w:r>
    </w:p>
    <w:p>
      <w:pPr>
        <w:spacing w:line="276" w:lineRule="auto" w:after="80"/>
        <w:ind w:firstLine="0"/>
      </w:pPr>
      <w:r>
        <w:rPr>
          <w:rFonts w:ascii="Arial" w:hAnsi="Arial"/>
          <w:b w:val="0"/>
          <w:i w:val="0"/>
          <w:color w:val="000000"/>
          <w:sz w:val="22"/>
        </w:rPr>
        <w:t>Mean ω spanned a 6.10-fold gradient across cell classes (all class-level SDs in this paragraph computed with ddof = 1). Bergmann glia and vascular cells showed the lowest mean ω (both 13.56; Bergmann glia 13.56 ± 5.72, n = 21 pairs across 7 regions—all intra-cerebellar, so their low ω partly reflects this anatomical restriction; vascular cells 13.56 ± 4.78, n = 3,321 pairs across 82 regions), followed by fibroblasts (18.18 ± 9.59), ependymal cells (22.98 ± 10.15), microglia (24.31 ± 12.35), committed oligodendrocyte precursors (28.84 ± 12.51), oligodendrocytes (37.05 ± 15.73), choroid plexus (37.76 ± 15.95, n = 15 pairs—too sparsely sampled to rank reliably), and oligodendrocyte precursors (40.62 ± 19.89). Astrocytes were the most regionally divergent (82.75 ± 44.98, n = 5,778 pairs across 108 regions), a 6.10-fold increase over Bergmann glia and vascular cells. This headline is an uncorrected upper bound: an equal-n downsample control (every class reduced to 4,118 nuclei, 20 replicates) attenuates the gradient to 1.74 (95% CI [1.64, 1.84]) because class-mean k_n is confounded by class size (below), so we co-report 6.10-fold as the full-data estimate and 1.74-fold as the size-balanced estimate throughout. Under class-specific split-half baselines the gradient is 5.99 (95% CI [4.43, 7.69], studentized bootstrap-t region-clustered bootstrap, superseding the under-covering percentile interval [4.12, 9.18]; Supplementary Note 2; see Discussion). Region-clustered bootstrap 95% CIs for the class-level means (B = 2,000; Methods): astrocytes [75.66, 89.53], oligodendrocyte precursors [37.02, 44.21], oligodendrocytes [34.31, 39.88], microglia [21.80, 26.87], Bergmann glia [5.76, 28.59] (studentized bootstrap-t; the earlier percentile interval under-covers at 7 clusters; Supplementary Note 2). Excluding Bergmann glia the gradient is unchanged (astrocytes versus vascular cells, 95% CI [6.00, 6.21]).</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4 of 10 cell classes, regional structure significantly raised mean ω (astrocytes: one-sided P ≤ 9.99 × 10⁻⁴, the permutation floor, SES = 6.49; oligodendrocyte precursor cells (OPCs): P = 0.002, SES = 4.04; committed OPCs: P = 0.005, SES = 2.60; fibroblasts: P = 0.030, SES = 1.83). Ependymal cells were borderline (P = 0.075) and vascular cells non-significant (P = 0.115); for three classes the observed mean fell below the null expectation (microglia P = 0.904; oligodendrocytes P = 0.883; Bergmann glia P = 0.998), and choroid plexus was not significant (P = 0.566, n = 15 pairs). Under Benjamini-Hochberg correction across the m = 10 classes, astrocytes and OPCs have q = 0.010 (a censored upper bound from the floor P), committed OPCs q = 0.017, and fibroblasts q = 0.075; a donor-stratified null sensitivity analysis (Methods) leaves the same 3 of 10 classes surviving correction. The gradient is thus supported at the cell-class level for a subset of classes—most strongly astrocytes and the OPC-to-oligodendrocyte lineage—while microglia, oligodendrocytes, and Bergmann glia sit at or below the null expectation.</w:t>
      </w:r>
    </w:p>
    <w:p>
      <w:pPr>
        <w:spacing w:line="276" w:lineRule="auto" w:after="80"/>
        <w:ind w:firstLine="0"/>
      </w:pPr>
      <w:r>
        <w:rPr>
          <w:rFonts w:ascii="Arial" w:hAnsi="Arial"/>
          <w:b w:val="0"/>
          <w:i w:val="0"/>
          <w:color w:val="000000"/>
          <w:sz w:val="22"/>
        </w:rPr>
        <w:t>Four analyses probe the robustness of the gradient. First, with only four donors and 94.5% of region pairs sharing at least one, the pooled gradient could reflect donor identity rather than regional biology. Restricting comparisons to same-donor region pairs preserved the extremes: astrocytes remained the most divergent class (mean ω = 75.18 across 11,139 within-donor pairs, versus 82.75 pooled) and Bergmann glia the least (16.73), a 4.50-fold gradient. Donor sharing cannot explain the gradient away, though within-donor values are lower for the largest classes (some between-donor contribution). Second, component decomposition shows the astrocyte-versus-Bergmann-glia contrast is predominantly a k_n effect: k_f differs only 2.0-fold (0.135 vs. 0.067) while mean k_n differs 3.2-fold (1.81 × 10⁻³ vs. 5.83 × 10⁻³). Across the ten classes, class-mean ω tracks k_n (Spearman ρ = −0.73, P = 0.02) but not k_f (ρ = 0.09, P = 0.80), and under a k_f-only ordering astrocytes rank third of ten (k_f-only gradient 4.1-fold; k_n-only 6.7-fold): the gradient chiefly reflects housekeeping stability across regions, not functional-gene divergence. The ordering is stable under an aggregate-first k_n estimator (ρ = 0.988, gradient 6.51-fold) but not under a single global k_n shared by all classes (ρ = 0.09), and per-pair k_n varies substantially (CV = 97.52%), so fine-grained ω orderings depend materially on the per-pair k_n estimator (Supplementary Fig. 7). We therefore recommend treating class-level ω as composite and comparing k_f and k_n directly for mechanistic attribution.</w:t>
      </w:r>
    </w:p>
    <w:p>
      <w:pPr>
        <w:spacing w:line="276" w:lineRule="auto" w:after="80"/>
        <w:ind w:firstLine="0"/>
      </w:pPr>
      <w:r>
        <w:rPr>
          <w:rFonts w:ascii="Arial" w:hAnsi="Arial"/>
          <w:b w:val="0"/>
          <w:i w:val="0"/>
          <w:color w:val="000000"/>
          <w:sz w:val="22"/>
        </w:rPr>
        <w:t>Third, we audited class-size confounding and filter-threshold sensitivity (Methods; Supplementary Note 10). Class-mean k_n correlates negatively with log10(class size) (Spearman ρ = −0.648, P = 0.043) but not with detection depth (P &gt; 0.22), and class-mean ω is uncorrelated with all tested confounders (P ≥ 0.091)—the ratio cancels shared sampling noise. The equal-n control (4,118 nuclei per class, 20 replicates) confirms this: the k_n class ranking is uncorrelated between full and downsampled data (ρ = −0.055, P = 0.88), the ω ranking only weakly (ρ = 0.370, P = 0.29), and the gradient falls from 6.10-fold to 1.74 (95% CI [1.64, 1.84])—direction preserved, interval excluding 1, but ~70% of the magnitude reflects class-size imbalance; the full-data gradient is therefore an uncorrected upper bound. Fourth, the gradient is robust to the 20-nuclei group-size threshold in direction but not magnitude: thresholds of 10, 20 (reported), 50, and 100 nuclei retain 10, 10, 10, and 8 classes with gradients of 6.60, 6.10, and 4.12; large classes change ≤ 2% in mean ω (microglia +4.8%), and the lowest rank is a near-tie that flips with threshold choice, so thresholds must stay at or below 50 nuclei to retain all ten classes (Supplementary Note 10).</w:t>
      </w:r>
    </w:p>
    <w:p>
      <w:pPr>
        <w:spacing w:line="276" w:lineRule="auto" w:after="80"/>
        <w:ind w:firstLine="0"/>
      </w:pPr>
      <w:r>
        <w:rPr>
          <w:rFonts w:ascii="Arial" w:hAnsi="Arial"/>
          <w:b w:val="0"/>
          <w:i w:val="0"/>
          <w:color w:val="000000"/>
          <w:sz w:val="22"/>
        </w:rPr>
        <w:t xml:space="preserve">The gradient aligns with known cell biology. Vascular cells and fibroblasts are tissue-resident populations maintained and replenished locally; their low ω indicates broadly conserved core programs—though low class-level ω is not spatial uniformity (the blood-brain barrier is molecularly heterogeneous between regions </w:t>
      </w:r>
      <w:r>
        <w:rPr>
          <w:rFonts w:ascii="Arial" w:hAnsi="Arial"/>
          <w:b w:val="0"/>
          <w:i w:val="0"/>
          <w:color w:val="000000"/>
          <w:sz w:val="22"/>
          <w:vertAlign w:val="superscript"/>
        </w:rPr>
        <w:t>19</w:t>
      </w:r>
      <w:r>
        <w:rPr>
          <w:rFonts w:ascii="Arial" w:hAnsi="Arial"/>
          <w:b w:val="0"/>
          <w:i w:val="0"/>
          <w:color w:val="000000"/>
          <w:sz w:val="22"/>
        </w:rPr>
        <w:t xml:space="preserve">; meningeal structure differs across compartments </w:t>
      </w:r>
      <w:r>
        <w:rPr>
          <w:rFonts w:ascii="Arial" w:hAnsi="Arial"/>
          <w:b w:val="0"/>
          <w:i w:val="0"/>
          <w:color w:val="000000"/>
          <w:sz w:val="22"/>
          <w:vertAlign w:val="superscript"/>
        </w:rPr>
        <w:t>20</w:t>
      </w:r>
      <w:r>
        <w:rPr>
          <w:rFonts w:ascii="Arial" w:hAnsi="Arial"/>
          <w:b w:val="0"/>
          <w:i w:val="0"/>
          <w:color w:val="000000"/>
          <w:sz w:val="22"/>
        </w:rPr>
        <w:t xml:space="preserve">). Microglia showed intermediate divergence: regional phenotypes vary but core surveillance machinery is shared </w:t>
      </w:r>
      <w:r>
        <w:rPr>
          <w:rFonts w:ascii="Arial" w:hAnsi="Arial"/>
          <w:b w:val="0"/>
          <w:i w:val="0"/>
          <w:color w:val="000000"/>
          <w:sz w:val="22"/>
          <w:vertAlign w:val="superscript"/>
        </w:rPr>
        <w:t>21</w:t>
      </w:r>
      <w:r>
        <w:rPr>
          <w:rFonts w:ascii="Arial" w:hAnsi="Arial"/>
          <w:b w:val="0"/>
          <w:i w:val="0"/>
          <w:color w:val="000000"/>
          <w:sz w:val="22"/>
        </w:rPr>
        <w:t>. Astrocytes express region-specific sets of ion channels, neurotransmitter transporters, and secreted factors tailored to local circuit demands—regional specialization compatible with the composite ω ordering but not established by it, because the ordering is predominantly k_n-driven, so the gradient should not be read as a ranking of functional divergence.</w:t>
      </w:r>
    </w:p>
    <w:p>
      <w:pPr>
        <w:spacing w:line="276" w:lineRule="auto" w:after="80"/>
        <w:ind w:firstLine="0"/>
      </w:pPr>
      <w:r>
        <w:rPr>
          <w:rFonts w:ascii="Arial" w:hAnsi="Arial"/>
          <w:b w:val="0"/>
          <w:i w:val="0"/>
          <w:color w:val="000000"/>
          <w:sz w:val="22"/>
        </w:rPr>
        <w:t>The gradient suggests a residence/migration framework: recently migrated or continuously exchanging types should show low inter-regional ω, while stably resident types accumulate regional signatures. Applied with care: vascular cells and fibroblasts are tissue-resident and replenished locally, so their low ω is more parsimoniously local maintenance of a conserved structural program than inter-regional exchange. Conversely, OPCs—the most actively migrating non-neuronal population—show the second-highest global mean ω (40.62), and the corrected candidate screen shows no oligodendrocyte-lineage concentration (fold enrichment 0.77, P = 0.92): these data provide no evidence that migration history shapes ω at either the pair or the class level. With no candidate surviving multiple-testing correction (below), this framework is hypothesis generation complementing lineage tracing, not inference.</w:t>
      </w:r>
    </w:p>
    <w:p>
      <w:pPr>
        <w:pStyle w:val="Heading2"/>
        <w:spacing w:before="420" w:after="160"/>
      </w:pPr>
      <w:r>
        <w:rPr>
          <w:rFonts w:ascii="Arial" w:hAnsi="Arial"/>
          <w:color w:val="000000"/>
          <w:sz w:val="24"/>
          <w:b/>
        </w:rPr>
        <w:t>Anomalously similar pairs: a hypothesis-generating screen</w:t>
      </w:r>
    </w:p>
    <w:p>
      <w:pPr>
        <w:spacing w:line="276" w:lineRule="auto" w:after="80"/>
        <w:ind w:firstLine="0"/>
      </w:pPr>
      <w:r>
        <w:rPr>
          <w:rFonts w:ascii="Arial" w:hAnsi="Arial"/>
          <w:b w:val="0"/>
          <w:i w:val="0"/>
          <w:color w:val="000000"/>
          <w:sz w:val="22"/>
        </w:rPr>
        <w:t xml:space="preserve">Low CKI ω for a cell type across two regions indicates transcriptomic similarity beyond baseline expectation, arising from non-exclusive mechanisms (developmental origin heterogeneity, embryonic colonization route boundaries </w:t>
      </w:r>
      <w:r>
        <w:rPr>
          <w:rFonts w:ascii="Arial" w:hAnsi="Arial"/>
          <w:b w:val="0"/>
          <w:i w:val="0"/>
          <w:color w:val="000000"/>
          <w:sz w:val="22"/>
          <w:vertAlign w:val="superscript"/>
        </w:rPr>
        <w:t>22–24</w:t>
      </w:r>
      <w:r>
        <w:rPr>
          <w:rFonts w:ascii="Arial" w:hAnsi="Arial"/>
          <w:b w:val="0"/>
          <w:i w:val="0"/>
          <w:color w:val="000000"/>
          <w:sz w:val="22"/>
        </w:rPr>
        <w:t xml:space="preserve">, compartmentalized developmental specification, postnatal migration </w:t>
      </w:r>
      <w:r>
        <w:rPr>
          <w:rFonts w:ascii="Arial" w:hAnsi="Arial"/>
          <w:b w:val="0"/>
          <w:i w:val="0"/>
          <w:color w:val="000000"/>
          <w:sz w:val="22"/>
          <w:vertAlign w:val="superscript"/>
        </w:rPr>
        <w:t>25,26</w:t>
      </w:r>
      <w:r>
        <w:rPr>
          <w:rFonts w:ascii="Arial" w:hAnsi="Arial"/>
          <w:b w:val="0"/>
          <w:i w:val="0"/>
          <w:color w:val="000000"/>
          <w:sz w:val="22"/>
        </w:rPr>
        <w:t>). We report the screen’s global verdict first: under a design-matched null that recomputes the full selection rule on every block-shuffle permutation, the expected number of Strong candidates is 148.3—the 39 observed lie 3.8-fold below the null expectation (P(null count ≥ 39) = 1.0), and no candidate survives FDR correction (minimum q = 0.520). The catalogue below is therefore a prioritized hypothesis list, not discoveries, and mechanism assignment is literature-guided; the oligodendrocyte lineage is not enriched (fold 0.77, P = 0.92), so migration-driven similarity is not currently evidenced. Region abbreviations follow the Siletti et al. dissection nomenclature (glossary in Supplementary Note 11).</w:t>
      </w:r>
    </w:p>
    <w:p>
      <w:pPr>
        <w:spacing w:line="276" w:lineRule="auto" w:after="80"/>
        <w:ind w:firstLine="0"/>
      </w:pPr>
      <w:r>
        <w:rPr>
          <w:rFonts w:ascii="Arial" w:hAnsi="Arial"/>
          <w:b w:val="0"/>
          <w:i w:val="0"/>
          <w:color w:val="000000"/>
          <w:sz w:val="22"/>
        </w:rPr>
        <w:t>The screen uses a multiplicative model: for each (cell_type, region_pair), expected_ω = μ_ct × μ_pair / μ_grand (μ_ct the cell type’s global mean ω, μ_pair the pair’s mean ω, μ_grand = 38.55). A residual (observed / expected) well below 1 marks a cell type far less differentiated between two regions than expected from its own plasticity and the pair’s divergence—a signature of shared transcriptional state, potentially reflecting shared developmental history or recent migration. Three confidence tiers were defined: Strong (residual &lt; 0.3, ω &lt; 15, lowest ω in the region pair), Moderate (residual &lt; 0.5, ω &lt; 25), and Weak (residual &lt; 0.75, ω &lt; 35; Supplementary Fig. 8).</w:t>
      </w:r>
    </w:p>
    <w:p>
      <w:pPr>
        <w:spacing w:line="276" w:lineRule="auto" w:after="80"/>
        <w:ind w:firstLine="0"/>
      </w:pPr>
      <w:r>
        <w:rPr>
          <w:rFonts w:ascii="Arial" w:hAnsi="Arial"/>
          <w:b w:val="0"/>
          <w:i w:val="0"/>
          <w:color w:val="000000"/>
          <w:sz w:val="22"/>
        </w:rPr>
        <w:t>Among 31,764 cross-region comparisons, threshold criteria identified 39 (0.12%) Strong candidates, with 1,171 (3.69%) Moderate and 5,381 (16.94%) Weak (Supplementary Table 4). Under the block-shuffle null (B = 1,000; Supplementary Fig. 9), 31 of the 39 Strong candidates showed raw one-sided P &lt; 0.05, but none survived Benjamini-Hochberg correction (minimum q = 0.520); the selection-rule empirical FDR analysis gives the depletion above (148.3 versus 39; restricted to raw P &lt; 0.05, 131.2 versus 31). A cell-type-stratified BH sensitivity analysis yields a single family below nominal—the intra-cerebellar Bergmann-glia family (m = 21; minimum q = 0.042)—crossing no class boundaries. Globally, 1,960 of 31,764 pairs (6.2%) showed raw lower-tail P &lt; 0.05, above the null 99th percentile (P = 0.011; Bonferroni 0.022), the excess chiefly from classes below the null expectation (microglia, oligodendrocytes, Bergmann glia) plus astrocytes; the upper tail shows the opposite excess (2,510 pairs, 7.9%). Candidates concentrate in microglia (16 Strong) and oligodendrocytes (10), with fibroblasts (6), astrocytes (3), and ependymal cells (2) contributing the rest; vascular cells, choroid plexus, and Bergmann glia contributed none. The microglial share-level enrichment (2.30-fold, hypergeometric P = 6.0 × 10⁻⁴) does not survive the design-matched null: the Strong rule fires preferentially on low-ω classes (52.0 of the 148.3 null candidates are microglial; observed 16, fold 0.31, P = 0.990), and the concentration does not survive the leave-pair-out panel. We make no class-composition claim, consistent with the class-level test (microglial mean below null, P = 0.904).</w:t>
      </w:r>
    </w:p>
    <w:p>
      <w:pPr>
        <w:spacing w:line="276" w:lineRule="auto" w:after="80"/>
        <w:ind w:firstLine="0"/>
      </w:pPr>
      <w:r>
        <w:rPr>
          <w:rFonts w:ascii="Arial" w:hAnsi="Arial"/>
          <w:b w:val="0"/>
          <w:i w:val="0"/>
          <w:color w:val="000000"/>
          <w:sz w:val="22"/>
        </w:rPr>
        <w:t>A design-matched negative control confirms the block-shuffle null is calibrated by library-level, not regional, structure. The libraries of every region were split uniformly at random into two pseudo-regions and the identical test re-run on the resulting 127,756 pseudo-pairs (B = 1,000; Supplementary Note 12; Supplementary Fig. 10). Pseudo-pairs between halves of different regions (n = 127,056) gave near-nominal tail rates (5.79% lower, 6.87% upper versus 5% nominal), similar to the real analysis (6.17%, 7.90%), whereas same-region halves (n = 700) showed a 37.6% lower-tail rate, confirming retained power. The mild over-dispersion of the per-pair P-values therefore arises from library-level grouping shared by both designs, and the small excess of real over pseudo rates (0.4 and 1.0 points) is the marginal signature of true regional biology.</w:t>
      </w:r>
    </w:p>
    <w:p>
      <w:pPr>
        <w:spacing w:line="276" w:lineRule="auto" w:after="80"/>
        <w:ind w:firstLine="0"/>
      </w:pPr>
      <w:r>
        <w:rPr>
          <w:rFonts w:ascii="Arial" w:hAnsi="Arial"/>
          <w:b w:val="0"/>
          <w:i w:val="0"/>
          <w:color w:val="000000"/>
          <w:sz w:val="22"/>
        </w:rPr>
        <w:t xml:space="preserve">Microglia contributed the largest share of Strong candidates (16 of 39, 13 with raw P &lt; 0.05), a share-level excess that mirrors the rule’s intrinsic bias toward low-ω classes (fold 0.31 against the null-rule expectation), so we make no class-composition claim. The microglial candidates nonetheless converge on visual-relay and orbitofrontal dissections: five pairs involve the lateral geniculate nucleus (LG), four the pulvinar (Pul), and four the occipitotemporal area TF, with the orbitofrontal areas A13 and A14 recurring as endpoints (glossary in Supplementary Note 11). With no candidate surviving FDR correction and the concentration mirroring the rule’s bias, these entries are hypothesis-generating targets for spatial-transcriptomic and lineage follow-up </w:t>
      </w:r>
      <w:r>
        <w:rPr>
          <w:rFonts w:ascii="Arial" w:hAnsi="Arial"/>
          <w:b w:val="0"/>
          <w:i w:val="0"/>
          <w:color w:val="000000"/>
          <w:sz w:val="22"/>
          <w:vertAlign w:val="superscript"/>
        </w:rPr>
        <w:t>21</w:t>
      </w:r>
      <w:r>
        <w:rPr>
          <w:rFonts w:ascii="Arial" w:hAnsi="Arial"/>
          <w:b w:val="0"/>
          <w:i w:val="0"/>
          <w:color w:val="000000"/>
          <w:sz w:val="22"/>
        </w:rPr>
        <w:t>, not evidence of microglia-specific regional association.</w:t>
      </w:r>
    </w:p>
    <w:p>
      <w:pPr>
        <w:spacing w:line="276" w:lineRule="auto" w:after="80"/>
        <w:ind w:firstLine="0"/>
      </w:pPr>
      <w:r>
        <w:rPr>
          <w:rFonts w:ascii="Arial" w:hAnsi="Arial"/>
          <w:b w:val="0"/>
          <w:i w:val="0"/>
          <w:color w:val="000000"/>
          <w:sz w:val="22"/>
        </w:rPr>
        <w:t xml:space="preserve">Mature oligodendrocytes contributed 10 Strong candidates, all with raw P &lt; 0.05—the only class in which every Strong candidate reaches nominal significance. Six of the ten have a thalamic relay-nucleus endpoint (eight if the subthalamic nucleus, which the atlas ontology groups under thalamus, is also counted) and four involve the occipitotemporal area TF—a thalamo-temporal orientation tested post hoc at the set level under both a uniform-draw and a selection-rule-matched null (Discussion; Supplementary Note 13). Adult oligodendrocytes are generally non-migratory between regions; Foerster et al. </w:t>
      </w:r>
      <w:r>
        <w:rPr>
          <w:rFonts w:ascii="Arial" w:hAnsi="Arial"/>
          <w:b w:val="0"/>
          <w:i w:val="0"/>
          <w:color w:val="000000"/>
          <w:sz w:val="22"/>
          <w:vertAlign w:val="superscript"/>
        </w:rPr>
        <w:t>27</w:t>
      </w:r>
      <w:r>
        <w:rPr>
          <w:rFonts w:ascii="Arial" w:hAnsi="Arial"/>
          <w:b w:val="0"/>
          <w:i w:val="0"/>
          <w:color w:val="000000"/>
          <w:sz w:val="22"/>
        </w:rPr>
        <w:t xml:space="preserve"> showed cortical oligodendrocytes are predominantly dorsally derived, whereas thalamic and brainstem oligodendrocytes are ventrally derived, with persistent cell-autonomous identity. The candidates cross rather than follow this dorsoventral origin boundary, so their mechanistic basis is left unassigned: the anatomical concentration itself is the observation to be explained, one candidate interpretation among several given the null FDR result.</w:t>
      </w:r>
    </w:p>
    <w:p>
      <w:pPr>
        <w:spacing w:line="276" w:lineRule="auto" w:after="80"/>
        <w:ind w:firstLine="0"/>
      </w:pPr>
      <w:r>
        <w:rPr>
          <w:rFonts w:ascii="Arial" w:hAnsi="Arial"/>
          <w:b w:val="0"/>
          <w:i w:val="0"/>
          <w:color w:val="000000"/>
          <w:sz w:val="22"/>
        </w:rPr>
        <w:t xml:space="preserve">Astrocytes, the most regionally divergent class (mean ω = 82.75), contributed only 3 Strong candidates (all with raw P &lt; 0.05); fibroblasts contributed 6 (5 involving area 40 as one endpoint; 4 of 6 with raw P &lt; 0.05), and ependymal cells 2 (both raw P &gt; 0.05). Bergmann glia, vascular cells, and choroid plexus contributed none; the absence of Bergmann glia candidates is consistent with their transcriptionally constrained state in the adult cerebellum </w:t>
      </w:r>
      <w:r>
        <w:rPr>
          <w:rFonts w:ascii="Arial" w:hAnsi="Arial"/>
          <w:b w:val="0"/>
          <w:i w:val="0"/>
          <w:color w:val="000000"/>
          <w:sz w:val="22"/>
          <w:vertAlign w:val="superscript"/>
        </w:rPr>
        <w:t>28,29</w:t>
      </w:r>
      <w:r>
        <w:rPr>
          <w:rFonts w:ascii="Arial" w:hAnsi="Arial"/>
          <w:b w:val="0"/>
          <w:i w:val="0"/>
          <w:color w:val="000000"/>
          <w:sz w:val="22"/>
        </w:rPr>
        <w:t xml:space="preserve"> and low global ω (13.56)—though all Bergmann glia comparisons are intra-cerebellar, so both the low mean and the absence partly reflect this anatomical restriction. None of these sparse signals survive multiple-testing correction; they are catalogued because their region identities are compatible with published developmental mechanisms (compartmentalized astrogenesis </w:t>
      </w:r>
      <w:r>
        <w:rPr>
          <w:rFonts w:ascii="Arial" w:hAnsi="Arial"/>
          <w:b w:val="0"/>
          <w:i w:val="0"/>
          <w:color w:val="000000"/>
          <w:sz w:val="22"/>
          <w:vertAlign w:val="superscript"/>
        </w:rPr>
        <w:t>30</w:t>
      </w:r>
      <w:r>
        <w:rPr>
          <w:rFonts w:ascii="Arial" w:hAnsi="Arial"/>
          <w:b w:val="0"/>
          <w:i w:val="0"/>
          <w:color w:val="000000"/>
          <w:sz w:val="22"/>
        </w:rPr>
        <w:t xml:space="preserve">; cerebellar molecular topography </w:t>
      </w:r>
      <w:r>
        <w:rPr>
          <w:rFonts w:ascii="Arial" w:hAnsi="Arial"/>
          <w:b w:val="0"/>
          <w:i w:val="0"/>
          <w:color w:val="000000"/>
          <w:sz w:val="22"/>
          <w:vertAlign w:val="superscript"/>
        </w:rPr>
        <w:t>28</w:t>
      </w:r>
      <w:r>
        <w:rPr>
          <w:rFonts w:ascii="Arial" w:hAnsi="Arial"/>
          <w:b w:val="0"/>
          <w:i w:val="0"/>
          <w:color w:val="000000"/>
          <w:sz w:val="22"/>
        </w:rPr>
        <w:t>),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gradient is supported for 4 of 10 classes (3 of 10 after Benjamini-Hochberg correction), no individual candidate survives FDR correction (minimum q = 0.520), and the Strong rule itself is anti-enriched relative to its null (148.3 expected versus 39 observed). An earlier per-pair label-shuffle implementation produced anti-conservative P-values (36.3% at the floor) by ignoring the 10x-library block structure that the block-shuffle null preserves.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 xml:space="preserve">CKI reframes transcriptomic comparison—from measuring absolute distance to quantifying functional divergence relative to an internal baseline—but this is better described as a recombination of established ideas than a conceptual shift. Reference genes have long anchored normalization and quality control in expression measurement: qPCR normalization by geometric averaging of validated internal control genes </w:t>
      </w:r>
      <w:r>
        <w:rPr>
          <w:rFonts w:ascii="Arial" w:hAnsi="Arial"/>
          <w:b w:val="0"/>
          <w:i w:val="0"/>
          <w:color w:val="000000"/>
          <w:sz w:val="22"/>
          <w:vertAlign w:val="superscript"/>
        </w:rPr>
        <w:t>31</w:t>
      </w:r>
      <w:r>
        <w:rPr>
          <w:rFonts w:ascii="Arial" w:hAnsi="Arial"/>
          <w:b w:val="0"/>
          <w:i w:val="0"/>
          <w:color w:val="000000"/>
          <w:sz w:val="22"/>
        </w:rPr>
        <w:t xml:space="preserve">, and the constrained-variance property of housekeeping genes has been characterized at the genomic level </w:t>
      </w:r>
      <w:r>
        <w:rPr>
          <w:rFonts w:ascii="Arial" w:hAnsi="Arial"/>
          <w:b w:val="0"/>
          <w:i w:val="0"/>
          <w:color w:val="000000"/>
          <w:sz w:val="22"/>
          <w:vertAlign w:val="superscript"/>
        </w:rPr>
        <w:t>13,32</w:t>
      </w:r>
      <w:r>
        <w:rPr>
          <w:rFonts w:ascii="Arial" w:hAnsi="Arial"/>
          <w:b w:val="0"/>
          <w:i w:val="0"/>
          <w:color w:val="000000"/>
          <w:sz w:val="22"/>
        </w:rPr>
        <w:t xml:space="preserve">. The idea that an intrinsic, gene-property-dependent noise floor can serve as a baseline has likewise been central to the transcriptional-noise literature </w:t>
      </w:r>
      <w:r>
        <w:rPr>
          <w:rFonts w:ascii="Arial" w:hAnsi="Arial"/>
          <w:b w:val="0"/>
          <w:i w:val="0"/>
          <w:color w:val="000000"/>
          <w:sz w:val="22"/>
          <w:vertAlign w:val="superscript"/>
        </w:rPr>
        <w:t>33–35</w:t>
      </w:r>
      <w:r>
        <w:rPr>
          <w:rFonts w:ascii="Arial" w:hAnsi="Arial"/>
          <w:b w:val="0"/>
          <w:i w:val="0"/>
          <w:color w:val="000000"/>
          <w:sz w:val="22"/>
        </w:rPr>
        <w:t>, which showed that expression variance is reproducibly gene-specific. CKI’s specific contribution is to combine these ingredients—a constrained reference set, a functional panel, and their divergence ratio—into a per-comparison, design-testable index with an explicit split-half calibration and a design-matched permutation null, rather than to introduce a new concept. The key assumption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50 replicates across six control populations) yielded a mean ω = 7.70 (95% CI [7.37, 8.02]; the legacy six-split estimate 6.67 is consistent with it), indicating that k_f systematically exceeds k_n even for identical populations due to identity-gene selection. We therefore use ω_cal = ω / 7.70 as the operational scale, interpreting ω_cal relative to the empirical equivalent-population distribution rather than against fixed cut-offs: values well below the calibrated baseline suggest functional constraint and values well above it enhanced divergence—not as claims about Darwinian selection regimes, and with the caveat that the baseline is dataset-dependent (Results).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association to be partly a denominator effect (k_n is itself strongly positively correlated with the standard metrics), so ω should be understood as a composite of numerator and denominator information rather than a fully independent signal dimension.</w:t>
      </w:r>
    </w:p>
    <w:p>
      <w:pPr>
        <w:spacing w:line="276" w:lineRule="auto" w:after="80"/>
        <w:ind w:firstLine="0"/>
      </w:pPr>
      <w:r>
        <w:rPr>
          <w:rFonts w:ascii="Arial" w:hAnsi="Arial"/>
          <w:b w:val="0"/>
          <w:i w:val="0"/>
          <w:color w:val="000000"/>
          <w:sz w:val="22"/>
        </w:rPr>
        <w:t>The Ka/Ks analogy is heuristically productive but has technical limitations that distinguish CKI from formal molecular evolution models.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 xml:space="preserve">CKI complements rather than replaces existing methods. SAMap </w:t>
      </w:r>
      <w:r>
        <w:rPr>
          <w:rFonts w:ascii="Arial" w:hAnsi="Arial"/>
          <w:b w:val="0"/>
          <w:i w:val="0"/>
          <w:color w:val="000000"/>
          <w:sz w:val="22"/>
          <w:vertAlign w:val="superscript"/>
        </w:rPr>
        <w:t>36</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excel at cross-species alignment; CACIMAR </w:t>
      </w:r>
      <w:r>
        <w:rPr>
          <w:rFonts w:ascii="Arial" w:hAnsi="Arial"/>
          <w:b w:val="0"/>
          <w:i w:val="0"/>
          <w:color w:val="000000"/>
          <w:sz w:val="22"/>
          <w:vertAlign w:val="superscript"/>
        </w:rPr>
        <w:t>37</w:t>
      </w:r>
      <w:r>
        <w:rPr>
          <w:rFonts w:ascii="Arial" w:hAnsi="Arial"/>
          <w:b w:val="0"/>
          <w:i w:val="0"/>
          <w:color w:val="000000"/>
          <w:sz w:val="22"/>
        </w:rPr>
        <w:t xml:space="preserve">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 xml:space="preserve">We also compared CKI with Augur </w:t>
      </w:r>
      <w:r>
        <w:rPr>
          <w:rFonts w:ascii="Arial" w:hAnsi="Arial"/>
          <w:b w:val="0"/>
          <w:i w:val="0"/>
          <w:color w:val="000000"/>
          <w:sz w:val="22"/>
          <w:vertAlign w:val="superscript"/>
        </w:rPr>
        <w:t>38</w:t>
      </w:r>
      <w:r>
        <w:rPr>
          <w:rFonts w:ascii="Arial" w:hAnsi="Arial"/>
          <w:b w:val="0"/>
          <w:i w:val="0"/>
          <w:color w:val="000000"/>
          <w:sz w:val="22"/>
        </w:rPr>
        <w:t>, which prioritizes cell types by how predictable a condition is from single-cell expression, on the brain atlas (pure-Python port of Augur v1.0.3; 33,036 stratified nuclei; 10 non-neuronal classes; condition label = brain region; Supplementary Note 14). Under the confound-controlled primary analysis (binary one-vs-rest tasks, comparable across classes despite region-set sizes of 6–107), the two rankings are moderately concordant: Augur separability versus class-mean ω Spearman ρ = 0.442 (P = 0.200), versus k_f ρ = 0.564 (P = 0.090), and versus k_n ρ = −0.236 (P = 0.511). Astrocytes—the top class by ω (82.75)—rank third of ten by Augur, and choroid plexus is high on both, so the extremes of the two rankings overlap; the shared signal localizes to the k_f numerator rather than k_n, whose regional variation is largely invisible to whole-transcriptome classifier separability. CKI is therefore complementary to, not redundant with, perturbation-prioritization tools. A multiclass macro-OvR sensitivity run gave a weaker, confounded association (versus ω ρ = 0.127, P = 0.726; AUC correlated with eligible-region count at ρ = −0.744, P = 0.014). With n = 10 classes these correlations are descriptive only.</w:t>
      </w:r>
    </w:p>
    <w:p>
      <w:pPr>
        <w:spacing w:line="276" w:lineRule="auto" w:after="80"/>
        <w:ind w:firstLine="0"/>
      </w:pPr>
      <w:r>
        <w:rPr>
          <w:rFonts w:ascii="Arial" w:hAnsi="Arial"/>
          <w:b w:val="0"/>
          <w:i w:val="0"/>
          <w:color w:val="000000"/>
          <w:sz w:val="22"/>
        </w:rPr>
        <w:t xml:space="preserve">The TCGA finding that tumors are more transcriptionally homogeneous than normal tissues (median NN/TT &gt; 1.0) is an exploratory observation requiring cautious interpretation: at bulk RNA-seq resolution the apparent convergence could be driven by cell-composition shifts (tumor purity, stromal and immune infiltration), peritumoral inflammation, or systematic RNA quality differences rather than genuine transcriptional convergence of tumor cells. Component decomposition reinforces this caution: the NN/TT reversal is predominantly a k_n effect—normal-normal pairs show systematically lower housekeeping-gene divergence than tumor-tumor pairs in all five cancer types, while tumor pairs show the higher functional-gene divergence (k_f)—so the data do not indicate smaller functional divergence of tumor cells. A marker-panel composition check quantifies the composition confound directly (Supplementary Note 8): tumor-tumor pairs do show larger composition differences than normal-normal pairs (median |Delta z| 1.33–1.46-fold higher across the immune, stromal, and epithelial panels, and 1.24-fold with the myeloid panel included; all P &lt; 10⁻⁷⁷), and within tumor-tumor pairs k_n correlates with the overall four-panel composition difference (Spearman ρ = 0.387 pooled; 0.23–0.52 per cancer type); however, in regressions of log k_n on pair type with the four composition deltas as covariates—including a myeloid panel (CD68, CD163, LST1, FCGR3A, C1QA)—and sample-level cluster bootstrap confidence intervals (B = 200), the tumor-pair coefficient attenuates by −0.5% pooled (95% CI [−3.2%, +2.6%]), with marked per-cancer heterogeneity (BRCA −14.0%, LUSC −9.7%, LUAD −2.3%, KIRC +19.6%, LIHC +33.5%). Because marker panels are noisy proxies for true composition, these attenuation estimates are lower bounds on the true composition contribution; the pooled tumor-pair k_n excess is therefore not fully explained by a noisy marker-panel proxy, but neither can a marker-panel regression exclude composition as the driver—plausibly reflecting tumor-specific housekeeping dysregulation </w:t>
      </w:r>
      <w:r>
        <w:rPr>
          <w:rFonts w:ascii="Arial" w:hAnsi="Arial"/>
          <w:b w:val="0"/>
          <w:i w:val="0"/>
          <w:color w:val="000000"/>
          <w:sz w:val="22"/>
          <w:vertAlign w:val="superscript"/>
        </w:rPr>
        <w:t>39</w:t>
      </w:r>
      <w:r>
        <w:rPr>
          <w:rFonts w:ascii="Arial" w:hAnsi="Arial"/>
          <w:b w:val="0"/>
          <w:i w:val="0"/>
          <w:color w:val="000000"/>
          <w:sz w:val="22"/>
        </w:rPr>
        <w:t xml:space="preserve"> or RNA-quality differences instead, and single-cell or deconvolution-based validation remains necessary. The PAM50 gradient cannot be read as a functional-divergence ordering: under k_f-only analysis the subtype ordering largely reverses (Luminal A lowest mean k_f, Basal-like highest; Supplementary Note 9), so the ω gradient is predominantly a baseline effect, and the proliferation-confound explanation (aggressive subtypes proliferate fastest) remains. The raw ω scale also varies substantially across datasets and computation schemes (e.g., BRCA Luminal A ω ≈ 142.0 versus mean brain regional ω = 38.55). In TCGA, per-pair k_n is comparable to the single-cell datasets (mean 0.005, range 1.6 × 10⁻⁴–5.6 × 10⁻², versus a mean per-pair k_n of 0.0035 in the brain single-nucleus dataset), so the higher raw ω in TCGA is driven primarily by a larger k_f: bulk tumor-versus-normal expression differences span thousands of genes. Cross-dataset ω comparisons should therefore be interpreted as rank-based rather than absolute.</w:t>
      </w:r>
    </w:p>
    <w:p>
      <w:pPr>
        <w:spacing w:line="276" w:lineRule="auto" w:after="80"/>
        <w:ind w:firstLine="0"/>
      </w:pPr>
      <w:r>
        <w:rPr>
          <w:rFonts w:ascii="Arial" w:hAnsi="Arial"/>
          <w:b w:val="0"/>
          <w:i w:val="0"/>
          <w:color w:val="000000"/>
          <w:sz w:val="22"/>
        </w:rPr>
        <w:t xml:space="preserve">The cross-organ and cross-brain-region analyses indicate that CKI can serve as a general tool for measuring functional differentiation at multiple spatial scales. The brain analysis showed a 6.10-fold ω gradient across 10 cell classes (from 13.56 in Bergmann glia and vascular cells to 82.75 in astrocytes; excluding Bergmann glia, whose comparisons are all intra-cerebellar, the gradient remains 6.10-fold; the ratio of class means is invariant to any shared calibration constant, and under class-specific split-half baselines it is 5.99, 95% CI [4.43, 7.69] under a studentized bootstrap-t region-clustered bootstrap, which attains nominal coverage at 6–7 clusters where the earlier percentile interval [4.12, 9.18] under-covers; Supplementary Note 2), significant at the cell-class level under a block-shuffle null for 4 of 10 classes (3 of 10 after Benjamini-Hochberg correction). Component decomposition, however, shows the gradient is a composite signal dominated by the k_n denominator (k_n contributes 3.21-fold versus 2.03-fold from k_f; product 6.51, slightly above the 6.10 ratio of class means because the mean of per-pair ratios is not the ratio of component means), so it should not be read as a pure functional-divergence ranking. The multiplicative residual model identified 39 Strong candidates; under the block-shuffle null (B = 1,000) 31 showed raw P &lt; 0.05, but none survived Benjamini-Hochberg correction across all 31,764 pairs (minimum q = 0.520); the raw-P enrichment is strongly tier-dependent (raw P &lt; 0.05 in 79.5% of Strong, 35.6% of Moderate, 16.9% of Weak, and 2.4% of unclassified pairs, versus 6.2% overall), which we report as a post-hoc coherence check—its statistical caveats, including the mathematical coupling between the tier rule and the per-pair P values (both are monotone functions of the same observed and null ω), are quantified in Supplementary Note 13—rather than FDR-controlled evidence. The candidates concentrate in microglia (16 of 39) and mature oligodendrocytes (10, all with raw P &lt; 0.05), while the oligodendrocyte lineage as a whole shows no enrichment (12 of 39 candidates versus a 40.2% share of comparisons; fold enrichment 0.77, P = 0.92). Re-analysis against the null-rule composition shows the microglial concentration mirrors the screening rule’s intrinsic bias toward low-ω classes (fold 0.31; Results). The thalamo-temporal orientation of the oligodendrocyte candidates with the developmental origin boundaries of mature oligodendrocytes </w:t>
      </w:r>
      <w:r>
        <w:rPr>
          <w:rFonts w:ascii="Arial" w:hAnsi="Arial"/>
          <w:b w:val="0"/>
          <w:i w:val="0"/>
          <w:color w:val="000000"/>
          <w:sz w:val="22"/>
          <w:vertAlign w:val="superscript"/>
        </w:rPr>
        <w:t>27</w:t>
      </w:r>
      <w:r>
        <w:rPr>
          <w:rFonts w:ascii="Arial" w:hAnsi="Arial"/>
          <w:b w:val="0"/>
          <w:i w:val="0"/>
          <w:color w:val="000000"/>
          <w:sz w:val="22"/>
        </w:rPr>
        <w:t xml:space="preserve"> remains an interpretation requiring lineage-tracing validation. These results illustrate a general principle for high-throughput screens in single-cell atlases: statistical claims require nulls that respect the experimental design, and the absence of FDR-significant signals is itself informative, delimiting what can be concluded from adult transcriptomes alone. Preliminary cross-species validation using shared cell types between mouse and human atlases </w:t>
      </w:r>
      <w:r>
        <w:rPr>
          <w:rFonts w:ascii="Arial" w:hAnsi="Arial"/>
          <w:b w:val="0"/>
          <w:i w:val="0"/>
          <w:color w:val="000000"/>
          <w:sz w:val="22"/>
          <w:vertAlign w:val="superscript"/>
        </w:rPr>
        <w:t>40</w:t>
      </w:r>
      <w:r>
        <w:rPr>
          <w:rFonts w:ascii="Arial" w:hAnsi="Arial"/>
          <w:b w:val="0"/>
          <w:i w:val="0"/>
          <w:color w:val="000000"/>
          <w:sz w:val="22"/>
        </w:rPr>
        <w:t xml:space="preserve"> was limited by the small number of directly comparable cell types: across the 15 shared cell types, per-cell-type mean ω rankings showed no significant cross-species correlation (Spearman r = −0.17, P = 0.55; Supplementary Fig. 11), so cell-type-level cross-species transferability of ω remains unestablished; absolute values also differ with the computation scheme (global top-2,000-HVG full matrix for mouse, per-pair hybrid for human).</w:t>
      </w:r>
    </w:p>
    <w:p>
      <w:pPr>
        <w:spacing w:line="276" w:lineRule="auto" w:after="80"/>
        <w:ind w:firstLine="0"/>
      </w:pPr>
      <w:r>
        <w:rPr>
          <w:rFonts w:ascii="Arial" w:hAnsi="Arial"/>
          <w:b w:val="0"/>
          <w:i w:val="0"/>
          <w:color w:val="000000"/>
          <w:sz w:val="22"/>
        </w:rPr>
        <w:t xml:space="preserve">Although no individual candidate survives FDR correction, several signals are consistent with prior reports—literature anchoring rather than independent validation. Maturation comparisons must be made on the k_f-only ordering rather than the composite ω ordering, because the composite is k_n-dominated (Results): under k_f alone the lineage ranks committed OPCs (k_f class mean 0.197, the highest of all ten classes; estimated from only 4,118 nuclei and 1,326 pairs, the sparsest stage of the lineage, so this rank carries the widest sampling uncertainty of the three) above oligodendrocytes (0.054), with OPCs lowest (0.048)—an ordering partially consistent with the single-cell observation that early oligodendrocyte differentiation stages are broadly similar across juvenile CNS regions, whereas subsets of mature oligodendrocytes become enriched in specific regions of the adult brain </w:t>
      </w:r>
      <w:r>
        <w:rPr>
          <w:rFonts w:ascii="Arial" w:hAnsi="Arial"/>
          <w:b w:val="0"/>
          <w:i w:val="0"/>
          <w:color w:val="000000"/>
          <w:sz w:val="22"/>
          <w:vertAlign w:val="superscript"/>
        </w:rPr>
        <w:t>41,42</w:t>
      </w:r>
      <w:r>
        <w:rPr>
          <w:rFonts w:ascii="Arial" w:hAnsi="Arial"/>
          <w:b w:val="0"/>
          <w:i w:val="0"/>
          <w:color w:val="000000"/>
          <w:sz w:val="22"/>
        </w:rPr>
        <w:t xml:space="preserve">, although the high k_f rank of committed OPCs (highest of all ten classes) is predicted by neither reference—whereas the composite ω ordering gives the opposite picture (OPCs 40.62 above oligodendrocytes 37.05 above committed OPCs 28.84). The tension between the two orderings is itself informative: neither supports the simple monotone-maturation reading of the composite gradient. The thalamo-temporal orientation of the mature-oligodendrocyte candidates (GPe–TF, MG–TF, LP–TF, STH–TF, with MG appearing in three pairs and six of ten candidates having a thalamic relay-nucleus endpoint, eight if the subthalamic nucleus is counted) concentrates on the thalamo-temporal axis rather than being scattered across the 108 regions. As a descriptive, exploratory characterization—not an inferential claim—we compared this concentration against two null references. A uniform-draw permutation test that preserves the endpoint co-occurrence structure of the 5,778 mature-oligodendrocyte pairs (10 pairs drawn without replacement, B = 100,000) gives thalamic-relay endpoint in 6 of 10 candidates versus a null mean of 1.95, P = 1.005 × 10⁻⁵; temporal-fusiform endpoint in 4 of 10 versus a null mean of 0.19; the combined thalamo-temporal axis in 9 of 10 versus a null mean of 2.27. A selection-rule-matched null at the same specification as the microglia composition analysis—the Strong rule (low ω, high multiplicative deviation, lowest-in-pair) re-evaluated on every block-shuffle permutation (B = 1,000)—qualifies this: the rule-matched null generates more survivors than observed (mean 43.7 versus 10), so absolute hit counts are not extreme (thalamic-relay 6 versus a null mean of 6.58, P = 0.48; temporal-fusiform 4 versus 1.51, P = 0.13; combined axis 9 versus 8.49, P = 0.38), whereas the per-candidate hit rate remains concentrated across all three endpoints (thalamic-relay 0.60 versus a null mean rate of 0.15, P = 0.005; temporal-fusiform 0.40 versus 0.03, P = 0.002; combined axis 0.90 versus 0.19, P = 0.001; these per-candidate hit-rate P values are conditional on the selected survivor set and are not valid post-selection P values; Supplementary Note 13). We therefore describe, as an exploratory observation rather than an inferential claim, an axis concentration of the surviving candidates (not an axis excess of candidates)—a pattern difficult to reconcile with migration; its correspondence with the developmental organization of forebrain oligodendrocytes demonstrated experimentally by Foerster et al. </w:t>
      </w:r>
      <w:r>
        <w:rPr>
          <w:rFonts w:ascii="Arial" w:hAnsi="Arial"/>
          <w:b w:val="0"/>
          <w:i w:val="0"/>
          <w:color w:val="000000"/>
          <w:sz w:val="22"/>
          <w:vertAlign w:val="superscript"/>
        </w:rPr>
        <w:t>27</w:t>
      </w:r>
      <w:r>
        <w:rPr>
          <w:rFonts w:ascii="Arial" w:hAnsi="Arial"/>
          <w:b w:val="0"/>
          <w:i w:val="0"/>
          <w:color w:val="000000"/>
          <w:sz w:val="22"/>
        </w:rPr>
        <w:t xml:space="preserve"> remains at the level of axis anatomy, however, because the candidate pairs cross rather than follow the dorsoventral origin boundary. Each of these correspondences is a descriptive, exploratory consistency check at the level of direction and anatomical logic, from which we draw no strong inferential claim; none constitutes independent validation of any specific region pair, and lineage-tracing or spatial-transcriptomic follow-up remains necessary.</w:t>
      </w:r>
    </w:p>
    <w:p>
      <w:pPr>
        <w:spacing w:line="276" w:lineRule="auto" w:after="80"/>
        <w:ind w:firstLine="0"/>
      </w:pPr>
      <w:r>
        <w:rPr>
          <w:rFonts w:ascii="Arial" w:hAnsi="Arial"/>
          <w:b w:val="0"/>
          <w:i w:val="0"/>
          <w:color w:val="000000"/>
          <w:sz w:val="22"/>
        </w:rPr>
        <w:t xml:space="preserve">CKI and standard metrics answer different questions, and choosing between them can be reduced to a few practical rules. Use CKI when the question is relative: is the functional divergence between two populations larger than what their own housekeeping baseline varies by, within the same dataset and gene-selection scheme? CKI then offers (i) a normalized, interpretable scale (ω relative to the split-half calibration), (ii) higher discrimination than raw distances for strong perturbations (simulation AUC 0.80 for ω versus 0.72 for k_f, 0.64 for raw JS, and 0.58 for cosine—under the simulation’s HK-anchored neutral-drift definition and top-200 gene selection; Results), and (iii) a specificity-first screen: with a design-matched permutation null, a significant ω rejects label exchangeability under that null, and attribution to functional divergence further requires excluding library-level confounders (batch, donor, dissection order, RNA quality; limitations discussed below); drift on the anchor is the null hypothesis by construction, and functional signal on the anchor is invisible to ω. Before trusting fine-grained ω orderings, diagnose the denominator: if per-pair k_n itself lies in the extreme tail of its own null distribution, or k_n correlates with technical covariates (composition estimates, batch, RNA-quality proxies), report k_f (or SES(k_f)) with the design-matched null directly rather than the ratio. In the real data analyzed here, ω orderings were predominantly denominator-driven (brain class-mean ρ(ω, k_n) = −0.73; TCGA NN/TT inversion and severity gradients predominantly denominator effects; cross-organ cell-type ranking not reproduced under k_f-only; Supplementary Note 9), so the honest default for ordering claims is k_f plus a design-matched null, with ω reserved for its specificity-first property—rejecting HK-anchored neutral drift—rather than for ranking. A real perturbation demonstration (Kang et al. </w:t>
      </w:r>
      <w:r>
        <w:rPr>
          <w:rFonts w:ascii="Arial" w:hAnsi="Arial"/>
          <w:b w:val="0"/>
          <w:i w:val="0"/>
          <w:color w:val="000000"/>
          <w:sz w:val="22"/>
          <w:vertAlign w:val="superscript"/>
        </w:rPr>
        <w:t>14</w:t>
      </w:r>
      <w:r>
        <w:rPr>
          <w:rFonts w:ascii="Arial" w:hAnsi="Arial"/>
          <w:b w:val="0"/>
          <w:i w:val="0"/>
          <w:color w:val="000000"/>
          <w:sz w:val="22"/>
        </w:rPr>
        <w:t>; Results) supports this boundary within the limits of its lane-confounded design: IFN-β stimulation raises k_n itself 1.2–5.7-fold above the donor-drift level, and where it does so most strongly (CD14+ monocytes) the ω AUC for separating perturbation from donor drift falls to 0.55 while k_f retains 0.98. This makes explicit that the index presupposes anchor stationarity: when the anchor itself moves, cross-metric contrasts—not absolute ω values—are the reliable signal (Supplementary Fig. 3). Use standard metrics when any of the following hold: absolute distances with cross-dataset meaning are required (ω does not transfer across datasets or schemes—compare ranks only); the task is classification or clustering of cell types (a largely solved problem where normalization adds little); weak-to-moderate effects must be detected at atlas scale (CKI’s sensitivity is bounded by permutation resolution and multiplicity, as the brain analysis illustrates); or the analysis needs an orthogonal signal dimension (ω is a k_n-dominated composite correlated with the standard metrics, not an independent axis). When the baseline itself is suspect—bulk data with composition shifts, as in TCGA—interpret k_n and k_f separately (or use k_f-only orderings with composition controls) rather than trusting ω alone.</w:t>
      </w:r>
    </w:p>
    <w:p>
      <w:pPr>
        <w:spacing w:line="276" w:lineRule="auto" w:after="80"/>
        <w:ind w:firstLine="0"/>
      </w:pPr>
      <w:r>
        <w:rPr>
          <w:rFonts w:ascii="Arial" w:hAnsi="Arial"/>
          <w:b w:val="0"/>
          <w:i w:val="0"/>
          <w:color w:val="000000"/>
          <w:sz w:val="22"/>
        </w:rPr>
        <w:t>For prospective applications of CKI we recommend the following. (i) Cell numbers: use at least 100–200 cells per group; the calibration controls and simulation replicates used 100–200 cells, and below this range pseudobulk noise inflates both k_n and k_f unpredictably. (ii) Reference gene set: use the HRT Atlas v1.0 housekeeping panel (shipped with the package as cki/data/hrt_atlas.csv) rather than data-driven auto-detection, so that k_n is anchored to a pre-specified constrained gene set. (iii) Estimation: compare populations only within the same dataset and the same gene-selection scheme; absolute ω does not transfer across datasets or schemes (Results). (iv) Baseline: calibrate within the dataset of interest by randomly splitting the same population into halves and computing split-half ω with the analysis pipeline being used, and interpret ω relative to that internal baseline rather than the mouse-derived 7.70. (v) Inference: use a permutation null that matches the experimental design (block-shuffle where libraries or donors define blocks)—the reference implementation used here is provided in the package as cki.blocknull.block_shuffle_test—and expect bounded sensitivity: ω is a specificity-first screen whose value is rejecting neutral drift, not detecting weak-to-moderate functional shifts.</w:t>
      </w:r>
    </w:p>
    <w:p>
      <w:pPr>
        <w:spacing w:line="276" w:lineRule="auto" w:after="80"/>
        <w:ind w:firstLine="0"/>
      </w:pPr>
      <w:r>
        <w:rPr>
          <w:rFonts w:ascii="Arial" w:hAnsi="Arial"/>
          <w:b w:val="0"/>
          <w:i w:val="0"/>
          <w:color w:val="000000"/>
          <w:sz w:val="22"/>
        </w:rPr>
        <w:t>Scope of the index, parameters, and test direction. CKI currently operates at the pseudobulk level; single-cell extensions would need to address sparsity and dropout. Key parameters (the +1 normalization pseudo-count, the ε = 1e-9 numerical guard, top-200 differentially expressed (DE) genes for k_f, HVG count of 2,000, log-base 2 for JS divergence) were chosen based on practical considerations rather than formal optimization; sensitivity analyses showed robustness to parameter variation, but a systematic simultaneous parameter sweep was not performed. The ω distribution is right-skewed and non-normal for the large datasets (brain skewness = 2.22, excess kurtosis = 6.02, D’Agostino-Pearson P &lt; 2.2 × 10⁻¹⁶; human Shapiro-Wilk P = 7.6 × 10⁻⁴²; the mouse pilot at n = 15 pairs does not reject normality, P = 0.071; Supplementary Fig. 12), so SES is reported as a descriptive measure of effect size rather than a parametric test statistic. The one-sided permutation test (H1: ω_obs &gt; ω_null) does not detect functional constraint (ω_obs &lt; ω_null); users investigating bidirectional hypotheses should employ two-sided permutation tests, available via the tail parameter ("upper", "lower", or "two-sided") in the CKI package (bootstrap_test(); the standardized effect size is returned under the ses key, formerly cohens_d). The brain analysis was restricted to non-neuronal cell types because the supercluster_term annotation does not resolve neuronal subtype heterogeneity, limiting the generalizability of our brain regional findings to non-neuronal lineages.</w:t>
      </w:r>
    </w:p>
    <w:p>
      <w:pPr>
        <w:spacing w:line="276" w:lineRule="auto" w:after="80"/>
        <w:ind w:firstLine="0"/>
      </w:pPr>
      <w:r>
        <w:rPr>
          <w:rFonts w:ascii="Arial" w:hAnsi="Arial"/>
          <w:b w:val="0"/>
          <w:i w:val="0"/>
          <w:color w:val="000000"/>
          <w:sz w:val="22"/>
        </w:rPr>
        <w:t xml:space="preserve">Gene-set definition, calibration, and estimator dependence. CKI uses the HRT Atlas v1.0 reference </w:t>
      </w:r>
      <w:r>
        <w:rPr>
          <w:rFonts w:ascii="Arial" w:hAnsi="Arial"/>
          <w:b w:val="0"/>
          <w:i w:val="0"/>
          <w:color w:val="000000"/>
          <w:sz w:val="22"/>
          <w:vertAlign w:val="superscript"/>
        </w:rPr>
        <w:t>13</w:t>
      </w:r>
      <w:r>
        <w:rPr>
          <w:rFonts w:ascii="Arial" w:hAnsi="Arial"/>
          <w:b w:val="0"/>
          <w:i w:val="0"/>
          <w:color w:val="000000"/>
          <w:sz w:val="22"/>
        </w:rPr>
        <w:t xml:space="preserve"> for all reported analyses; the package also supports data-driven auto-detection (combined detection-rate and CV filtering, use_reference = False), not used here, and sensitivity analysis showed robustness to alternative HK definitions (the lowest 10% variable genes as a constrained set yielded ω correlations r &gt; 0.95). Identity-gene selection for k_f introduces systematic inflation: calibration controls (random split of the same population) yielded a mean ω = 7.70, because pre-selecting genes by the observed group difference (DE scheme) or by high cross-cell variance (HVG scheme) inflates k_f even for identical populations; the permutation test accounts for this by constructing the null under the same gene-selection procedure. A further concern is the circular dependency of the per-pair k_f scheme—the top-200 genes are selected by |μ_A − μ_B|, so the genes defining functional divergence are precisely those with the largest expression differences—and although the permutation null preserves this selection, k_f magnitudes lack independent external validation and should be interpreted as an upper bound; the fixed gene-panel ablation (Results) confirmed that replacing the circular panel deflates absolute ω while preserving rankings, so absolute tier thresholds are scheme-specific. Housekeeping gene expression may be dysregulated in cancer </w:t>
      </w:r>
      <w:r>
        <w:rPr>
          <w:rFonts w:ascii="Arial" w:hAnsi="Arial"/>
          <w:b w:val="0"/>
          <w:i w:val="0"/>
          <w:color w:val="000000"/>
          <w:sz w:val="22"/>
          <w:vertAlign w:val="superscript"/>
        </w:rPr>
        <w:t>39</w:t>
      </w:r>
      <w:r>
        <w:rPr>
          <w:rFonts w:ascii="Arial" w:hAnsi="Arial"/>
          <w:b w:val="0"/>
          <w:i w:val="0"/>
          <w:color w:val="000000"/>
          <w:sz w:val="22"/>
        </w:rPr>
        <w:t>, potentially affecting the k_n baseline in a disease-specific manner—one instance of the anchor-failure scope stated with the concept definition (Introduction). The empirical calibration factor (ω_cal = ω / 7.70, 95% CI [7.37, 8.02]) derives from mouse split-half controls (50 replicates across six control populations) under the per-pair DE hybrid scheme; the mouse full pairwise matrix (703 pairs, Supplementary Fig. 1) uses a different scheme (global top-2,000 HVGs), so cross-scheme comparison of absolute ω requires caution. Applying the CI bounds shifts ω_cal by factors of 1.04 and 0.96; all CKI conclusions, which rely on rank-based interpretation, are robust to this range. Scheme-matched split-half calibration inside the two large single-cell datasets shows the baseline is dataset-dependent: the Tabula Sapiens internal baseline is 7.67 (95% bootstrap CI [7.39, 8.00]) and lies within the mouse CI [7.37, 8.02], whereas the brain-internal baseline (9.73, 95% CI [9.03, 10.53]) is approximately 1.3-fold higher, so the mouse-derived ω_cal overstates calibrated values in the brain dataset (Bergmann glia ω_cal ≈ 1.4 under the internal baseline rather than ≈ 1.8). ω_cal therefore restores the interpretability of the ratio framework only in a dataset-relative sense, and the baseline may vary across tissues, species, and platforms. We verified scheme-specific transferability directly through scheme-matched split-half calibration inside the brain atlas and inside Tabula Sapiens (Methods); dataset-internal baselines—computable with the split-half procedure and calibrate_omega() in the CKI package—should be preferred whenever absolute calibrated values are required. Although k_n is computed per pair on the shared HK gene set, it varies substantially across pairs (brain per-pair CV = 97.52%), and the class-level ω gradient is predominantly denominator-driven (Results); a global-k_n variant produced substantially different ω rankings because it effectively rescales k_f alone, whereas an aggregate-first estimator preserved the ordering (Results), so fine-grained ω orderings should be interpreted with the estimator choice in mind. Finally, k_n can approach zero under strong pseudobulk averaging (e.g., bulk RNA-seq); users comparing absolute ω magnitudes across datasets should verify that per-pair k_n is well above any floor applied (TCGA applies kn_floor = 1 × 10⁻⁴; all single-cell analyses use the package default kn_floor = 0; Methods).</w:t>
      </w:r>
    </w:p>
    <w:p>
      <w:pPr>
        <w:spacing w:line="276" w:lineRule="auto" w:after="80"/>
        <w:ind w:firstLine="0"/>
      </w:pPr>
      <w:r>
        <w:rPr>
          <w:rFonts w:ascii="Arial" w:hAnsi="Arial"/>
          <w:b w:val="0"/>
          <w:i w:val="0"/>
          <w:color w:val="000000"/>
          <w:sz w:val="22"/>
        </w:rPr>
        <w:t>Data- and design-specific constraints. TCGA analysis was limited to bulk RNA-seq resolution; the per-cancer permutation test (B = 1,000) permutes sample labels (tumor vs. normal) and holds the identity gene panel fixed across permutations, which is anti-conservative relative to per-permutation re-selection (Methods), and with 5 cancer types the TCGA results are exploratory. On the pair-level TCGA data (35,306 pairs) the kn_floor = 1 × 10⁻⁴ denominator floor was triggered by a single pair (1 of 35,306: k_n = 8.41 × 10⁻⁵, a KIRC NN pair; floor fraction &lt; 0.1%), so pair-level ω is effectively k_f/k_n and remains a k_n-dominated composite (Spearman ρ(log ω, log k_f) = +0.04, ρ(log ω, log k_n) = −0.82; log-scale variance of k_n accounts for ≈ 72%); the saturation caveat applies only to the aggregate tumor-versus-normal analysis (aggregate k_n ranged from 3.0 × 10⁻⁵ to 1.9 × 10⁻⁴, so aggregate ω saturates at k_f/10⁻⁴ in 3 of 5 cancer types), and all single-cell analyses use the package default positivity guard only (kn_floor = 0), leaving k_n uncapped. The brain analysis uses post-mortem tissue; post-mortem interval (PMI) varies across samples and may differentially affect RNA integrity by region and cell type, potentially biasing regional ω comparisons—in particular, mitochondrial transcripts degrade faster post-mortem than nuclear-encoded mRNAs, so regionally differential degradation of mitochondrial and nuclear-encoded metabolic genes within the HK set could masquerade as regional structure in k_n; because the candidate screen is rule-driven rather than evidence of PMI robustness (Results), PMI sensitivity would need per-candidate evaluation—particularly for the thalamic and cortical dissections—and developmental time courses with controlled collection would provide stronger evidence for region-association inference. Donor-level PMI and RNA-integrity covariates were not available to us for this atlas, so a direct correlation between PMI and per-pair k_n could not be tested; such a check is the minimal sensitivity analysis required before any candidate-level region-association claim. In addition, the brain atlas is single-nucleus rather than whole-cell RNA-seq: nuclear capture depletes cytoplasmic transcripts, and if this depletion acts differently on housekeeping (k_n) and identity (k_f) gene sets—for example, because identity genes are enriched for secreted or membrane proteins—per-pair ω could shift systematically across classes; we did not model this nucleocytoplasmic bias explicitly. Relatedly, the brain class gradient is inflated by class-size imbalance: class-mean k_n is confounded with class nuclei count (Spearman ρ = −0.648, P = 0.043), and equal-n downsampling attenuates the endpoint gradient from 6.10-fold to 1.74-fold (direction preserved, magnitude attenuated ~70%; Results), so the headline magnitude—though not its direction—is a property of the unbalanced class sizes. Similarly, the +1 pseudocount added before the JS divergence acts asymmetrically on the two gene sets: k_n, computed on highly expressed housekeeping genes, is largely insensitive to it, whereas k_f, which includes lowly expressed regulatory genes, is more affected, and JS divergence on probability vectors is inherently dominated by high-expression genes (Supplementary Note 15 excludes dimension effects but not expression-level effects); the ‘functional’ reading of k_f should be tempered accordingly. A semi-synthetic ground-truth simulation (module-shift injection on a real single-cell background; Supplementary Note 1) validated the specificity of ω against neutral drift (type-I error 0.00–0.02, versus 0.55–0.58 for raw JS and cosine) but bounded its sensitivity: detecting injected module shifts was background-dependent—in the marrow background ω required δ = 2 (fourfold shifts on at least 200 genes), whereas the skin background reached 91% detection at δ = 1 (twofold shifts on at least 200 genes)—and ω ranked below raw JS and cosine in raw detection power while ranking first in functional-versus-neutral discrimination (AUC = 0.80). The simulation was restricted to two backgrounds (one cell type each: marrow B cells and skin keratinocyte stem cells), a single module-size series, and simple multiplicative perturbations; lineage-structured, gradual, or compensatory ground truths were not evaluated, and no head-to-head comparison against specialized cross-dataset integration methods (e.g., SATURN) was performed.</w:t>
      </w:r>
    </w:p>
    <w:p>
      <w:pPr>
        <w:spacing w:line="276" w:lineRule="auto" w:after="80"/>
        <w:ind w:firstLine="0"/>
      </w:pPr>
      <w:r>
        <w:rPr>
          <w:rFonts w:ascii="Arial" w:hAnsi="Arial"/>
          <w:b w:val="0"/>
          <w:i w:val="0"/>
          <w:color w:val="000000"/>
          <w:sz w:val="22"/>
        </w:rPr>
        <w:t>Anchor-visibility boundary and benchmarking scope. Two related boundaries delimit where ω can fire. ω is structurally insensitive to perturbations that move the housekeeping anchor itself: in the mean-shift simulation, once 500 genes shifted fourfold or more, k_n detected the shift perfectly (AUC = 1.000) and the ratio collapsed (AUC 0.05–0.13), while MELD and the scDist approximation detected every configuration (sensitivity 1.00; Results). This insensitivity is the flip side of the specificity that defines the index and must be treated as a hard boundary, not a tunable parameter. A stronger neutral model that reassigns gene identity while exactly preserving library size and composition (gene-pair swap; N2 control) defeats every gene-aware metric equally: ω, raw JS, and cosine all flag every replicate (FPR = 1.00), because the swap preserves the expression-value multiset while the swapped genes dominate the per-pair top-200 set (Supplementary Note 5). We do not read such identity reassignment as neutral—it is precisely the signal ω is designed to detect—but under it ω holds no specificity advantage over anchor-free metrics. Separately, donor-paired permutation power vanishes at large pseudobulk size: power falls from 0.67–0.93 at 50 cells per donor per condition to ≈ 0 at n ≳ 500, so the practical operating window is roughly 50–200 cells per donor per condition. Finally, the scDist results reported in this work were obtained with a Python approximation of scDist (the original is an R package and was not run here), so absolute scDist distances should be compared against the original implementation before being cited quantitatively.</w:t>
      </w:r>
    </w:p>
    <w:p>
      <w:pPr>
        <w:spacing w:line="276" w:lineRule="auto" w:after="80"/>
        <w:ind w:firstLine="0"/>
      </w:pPr>
      <w:r>
        <w:rPr>
          <w:rFonts w:ascii="Arial" w:hAnsi="Arial"/>
          <w:b w:val="0"/>
          <w:i w:val="0"/>
          <w:color w:val="000000"/>
          <w:sz w:val="22"/>
        </w:rPr>
        <w:t>Multiple testing and cluster-aware inference. The brain regional analysis generated 31,764 cross-region comparisons; Benjamini-Hochberg FDR correction was applied within each dataset separately (group-level tests: m = 10 for brain, 17 for human, 15 for mouse; residual model: m = 31,764). The class-level upper-tail tests (m = 10) and the pair-level lower-tail screen (m = 31,764) are families with opposite directional hypotheses and are reported separately; no cross-family joint correction is applied, so a rejection in one family licenses no claim in the other. The 39 Strong candidates represent the most extreme deviations from the multiplicative expectation; none survived Benjamini-Hochberg correction under the block-shuffle null (minimum q = 0.520; the cell-type-stratified minimum q = 0.042 is confined to the intra-cerebellar Bergmann-glia family and crosses no class boundaries), and 31 had raw P &lt; 0.05—they should be interpreted as hypothesis-generating signals requiring independent validation, with the systematic concordance with known developmental biology providing post hoc plausibility but not FDR-controlled discovery. The block-shuffle null treats each 10x library as an atomic block and assumes libraries are otherwise exchangeable, so systematic library-level confounding not removed by the design (e.g., batch correlated with dissection order) would distort the null in ways the permutation cannot capture. The pseudo-region negative control bounds this possibility empirically: in a structure-free re-run of the same test on 127,756 pseudo-pairs, the marginal tail rates (5.79% lower, 6.87% upper) closely match the real analysis (6.17%/7.90%), so the observed over-dispersion is attributable to library-level grouping shared by both designs rather than to null-width mismatch (Results; Supplementary Note 12, Supplementary Fig. 10). In addition, B = 1,000 permutations bounds the resolvable P-value at 9.99 × 10⁻⁴; because the BH threshold for the smallest of m = 31,764 ordered P-values is 0.05/31,764 ≈ 1.6 × 10⁻⁶, detecting FDR-significant per-pair signals at B = 1,000 would require ~635 of the 31,764 P-values to sit simultaneously at the permutation floor—a regime the empirical FDR analysis shows is not approached—or B ≈ 6 × 10⁵ permutations (or a hierarchically structured multiplicity model). Because per-signal tests share cell types and regions, BH correction over all pairs is itself approximate; BH-FDR is applied separately within each dataset, so significance thresholds are not directly comparable across datasets, and cross-dataset meta-analysis would require a unified multiple-testing framework.</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(v0.5.0) and all analysis notebooks are available at https://github.com/zhanglknt/CKI-cell-type-identification under the MIT License.</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we showed that ω rankings carry reproducible biological signal while absolute ω values remain scheme- and dataset-specific, that statistical claims at atlas scale require nulls respecting the experimental design, and that the absence of FDR-significant candidates is itself an informative bound on what adult transcriptomes alone can support. CKI is released as an open-source Python package with a fully reproducible analysis pipeline, and we anticipate its use as an interpretable complement to standard distance metrics in comparative single-cell analyses.</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 xml:space="preserve">We normalize raw count matrices to 10,000 counts per cell and apply log1p transformation </w:t>
      </w:r>
      <w:r>
        <w:rPr>
          <w:rFonts w:ascii="Arial" w:hAnsi="Arial"/>
          <w:b w:val="0"/>
          <w:i w:val="0"/>
          <w:color w:val="000000"/>
          <w:sz w:val="22"/>
          <w:vertAlign w:val="superscript"/>
        </w:rPr>
        <w:t>43</w:t>
      </w:r>
      <w:r>
        <w:rPr>
          <w:rFonts w:ascii="Arial" w:hAnsi="Arial"/>
          <w:b w:val="0"/>
          <w:i w:val="0"/>
          <w:color w:val="000000"/>
          <w:sz w:val="22"/>
        </w:rPr>
        <w:t xml:space="preserve">. Pseudobulk vectors average expression across cells sharing the same cell-type annotation (at least 20 cells per entry (pseudobulk group); at least one donor/mouse contributing at least 10 cells). Housekeeping (HK) genes are loaded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pPr>
        <w:spacing w:line="276" w:lineRule="auto" w:after="80"/>
        <w:ind w:firstLine="0"/>
      </w:pPr>
      <w:r>
        <w:rPr>
          <w:rFonts w:ascii="Arial" w:hAnsi="Arial"/>
          <w:b w:val="0"/>
          <w:i w:val="0"/>
          <w:color w:val="000000"/>
          <w:sz w:val="22"/>
        </w:rPr>
        <w:t xml:space="preserve">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Then k_n = JS(norm(ε_A[H]), norm(ε_B[H])), where H is the set of HK gene indices; k_f = JS(norm(ε_A[I]), norm(ε_B[I])), where I is the set of top-2,000 highly variable genes (HVGs; Seurat flavor) excluding HK genes; ω = k_f/k_n, with JS divergence </w:t>
      </w:r>
      <w:r>
        <w:rPr>
          <w:rFonts w:ascii="Arial" w:hAnsi="Arial"/>
          <w:b w:val="0"/>
          <w:i w:val="0"/>
          <w:color w:val="000000"/>
          <w:sz w:val="22"/>
          <w:vertAlign w:val="superscript"/>
        </w:rPr>
        <w:t>44</w:t>
      </w:r>
      <w:r>
        <w:rPr>
          <w:rFonts w:ascii="Arial" w:hAnsi="Arial"/>
          <w:b w:val="0"/>
          <w:i w:val="0"/>
          <w:color w:val="000000"/>
          <w:sz w:val="22"/>
        </w:rPr>
        <w:t xml:space="preserve">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the Supplementary Information.</w:t>
      </w:r>
    </w:p>
    <w:p>
      <w:pPr>
        <w:spacing w:line="276" w:lineRule="auto" w:after="80"/>
        <w:ind w:firstLine="0"/>
      </w:pPr>
      <w:r>
        <w:rPr>
          <w:rFonts w:ascii="Arial" w:hAnsi="Arial"/>
          <w:b w:val="0"/>
          <w:i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0.5.0.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Supplementary Fig. 13).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 xml:space="preserve">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w:t>
      </w:r>
      <w:r>
        <w:rPr>
          <w:rFonts w:ascii="Arial" w:hAnsi="Arial"/>
          <w:b w:val="0"/>
          <w:i w:val="0"/>
          <w:color w:val="000000"/>
          <w:sz w:val="22"/>
          <w:vertAlign w:val="superscript"/>
        </w:rPr>
        <w:t>45</w:t>
      </w:r>
      <w:r>
        <w:rPr>
          <w:rFonts w:ascii="Arial" w:hAnsi="Arial"/>
          <w:b w:val="0"/>
          <w:i w:val="0"/>
          <w:color w:val="000000"/>
          <w:sz w:val="22"/>
        </w:rPr>
        <w:t xml:space="preserve"> is applied within each dataset; larger-scale analyses are supplemented with non-parametric tests and descriptive statistics.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 xml:space="preserve">Tabula Muris FACS SmartSeq2 </w:t>
      </w:r>
      <w:r>
        <w:rPr>
          <w:rFonts w:ascii="Arial" w:hAnsi="Arial"/>
          <w:b w:val="0"/>
          <w:i w:val="0"/>
          <w:color w:val="000000"/>
          <w:sz w:val="22"/>
          <w:vertAlign w:val="superscript"/>
        </w:rPr>
        <w:t>8</w:t>
      </w:r>
      <w:r>
        <w:rPr>
          <w:rFonts w:ascii="Arial" w:hAnsi="Arial"/>
          <w:b w:val="0"/>
          <w:i w:val="0"/>
          <w:color w:val="000000"/>
          <w:sz w:val="22"/>
        </w:rPr>
        <w:t xml:space="preserve">: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w:t>
      </w:r>
      <w:r>
        <w:rPr>
          <w:rFonts w:ascii="Arial" w:hAnsi="Arial"/>
          <w:b w:val="0"/>
          <w:i w:val="0"/>
          <w:color w:val="000000"/>
          <w:sz w:val="22"/>
          <w:vertAlign w:val="superscript"/>
        </w:rPr>
        <w:t>46</w:t>
      </w:r>
      <w:r>
        <w:rPr>
          <w:rFonts w:ascii="Arial" w:hAnsi="Arial"/>
          <w:b w:val="0"/>
          <w:i w:val="0"/>
          <w:color w:val="000000"/>
          <w:sz w:val="22"/>
        </w:rPr>
        <w:t xml:space="preserve"> with flavor="seurat" </w:t>
      </w:r>
      <w:r>
        <w:rPr>
          <w:rFonts w:ascii="Arial" w:hAnsi="Arial"/>
          <w:b w:val="0"/>
          <w:i w:val="0"/>
          <w:color w:val="000000"/>
          <w:sz w:val="22"/>
          <w:vertAlign w:val="superscript"/>
        </w:rPr>
        <w:t>47,48</w:t>
      </w:r>
      <w:r>
        <w:rPr>
          <w:rFonts w:ascii="Arial" w:hAnsi="Arial"/>
          <w:b w:val="0"/>
          <w:i w:val="0"/>
          <w:color w:val="000000"/>
          <w:sz w:val="22"/>
        </w:rPr>
        <w:t xml:space="preserve"> and n_top_genes=2,000.</w:t>
      </w:r>
    </w:p>
    <w:p>
      <w:pPr>
        <w:spacing w:line="276" w:lineRule="auto" w:after="80"/>
        <w:ind w:firstLine="0"/>
      </w:pPr>
      <w:r>
        <w:rPr>
          <w:rFonts w:ascii="Arial" w:hAnsi="Arial"/>
          <w:b w:val="0"/>
          <w:i w:val="0"/>
          <w:color w:val="000000"/>
          <w:sz w:val="22"/>
        </w:rPr>
        <w:t xml:space="preserve">Tabula Sapiens v1.0 </w:t>
      </w:r>
      <w:r>
        <w:rPr>
          <w:rFonts w:ascii="Arial" w:hAnsi="Arial"/>
          <w:b w:val="0"/>
          <w:i w:val="0"/>
          <w:color w:val="000000"/>
          <w:sz w:val="22"/>
          <w:vertAlign w:val="superscript"/>
        </w:rPr>
        <w:t>9</w:t>
      </w:r>
      <w:r>
        <w:rPr>
          <w:rFonts w:ascii="Arial" w:hAnsi="Arial"/>
          <w:b w:val="0"/>
          <w:i w:val="0"/>
          <w:color w:val="000000"/>
          <w:sz w:val="22"/>
        </w:rPr>
        <w:t>: accessed via CZ CELLxGENE Discover.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 xml:space="preserve">TCGA bulk RNA-seq </w:t>
      </w:r>
      <w:r>
        <w:rPr>
          <w:rFonts w:ascii="Arial" w:hAnsi="Arial"/>
          <w:b w:val="0"/>
          <w:i w:val="0"/>
          <w:color w:val="000000"/>
          <w:sz w:val="22"/>
          <w:vertAlign w:val="superscript"/>
        </w:rPr>
        <w:t>49</w:t>
      </w:r>
      <w:r>
        <w:rPr>
          <w:rFonts w:ascii="Arial" w:hAnsi="Arial"/>
          <w:b w:val="0"/>
          <w:i w:val="0"/>
          <w:color w:val="000000"/>
          <w:sz w:val="22"/>
        </w:rPr>
        <w:t xml:space="preserve">: five cancer types from NCI Genomic Data Commons, accessed via TCGAbiolinks </w:t>
      </w:r>
      <w:r>
        <w:rPr>
          <w:rFonts w:ascii="Arial" w:hAnsi="Arial"/>
          <w:b w:val="0"/>
          <w:i w:val="0"/>
          <w:color w:val="000000"/>
          <w:sz w:val="22"/>
          <w:vertAlign w:val="superscript"/>
        </w:rPr>
        <w:t>50</w:t>
      </w:r>
      <w:r>
        <w:rPr>
          <w:rFonts w:ascii="Arial" w:hAnsi="Arial"/>
          <w:b w:val="0"/>
          <w:i w:val="0"/>
          <w:color w:val="000000"/>
          <w:sz w:val="22"/>
        </w:rPr>
        <w:t xml:space="preserve"> and cBioPortal </w:t>
      </w:r>
      <w:r>
        <w:rPr>
          <w:rFonts w:ascii="Arial" w:hAnsi="Arial"/>
          <w:b w:val="0"/>
          <w:i w:val="0"/>
          <w:color w:val="000000"/>
          <w:sz w:val="22"/>
          <w:vertAlign w:val="superscript"/>
        </w:rPr>
        <w:t>51</w:t>
      </w:r>
      <w:r>
        <w:rPr>
          <w:rFonts w:ascii="Arial" w:hAnsi="Arial"/>
          <w:b w:val="0"/>
          <w:i w:val="0"/>
          <w:color w:val="000000"/>
          <w:sz w:val="22"/>
        </w:rPr>
        <w:t xml:space="preserve"> APIs. LUAD: 495 tumor + 76 normal; LUSC: 567 tumor + 58 normal; LIHC: 365 tumor + 57 normal; KIRC: 755 tumor + 82 normal; BRCA: 1032 tumor + 109 normal. TPM values from UCSC Xena; within each cancer type, genes with mean expression below 0.5 TPM were removed, and the retained values were log2(TPM + 1) transformed. BRCA PAM50 subtype assignments </w:t>
      </w:r>
      <w:r>
        <w:rPr>
          <w:rFonts w:ascii="Arial" w:hAnsi="Arial"/>
          <w:b w:val="0"/>
          <w:i w:val="0"/>
          <w:color w:val="000000"/>
          <w:sz w:val="22"/>
          <w:vertAlign w:val="superscript"/>
        </w:rPr>
        <w:t>16,17</w:t>
      </w:r>
      <w:r>
        <w:rPr>
          <w:rFonts w:ascii="Arial" w:hAnsi="Arial"/>
          <w:b w:val="0"/>
          <w:i w:val="0"/>
          <w:color w:val="000000"/>
          <w:sz w:val="22"/>
        </w:rPr>
        <w:t xml:space="preserve"> were retrieved from cBioPortal (brca_tcga_pub study, PAM50_SUBTYPE clinical attribute; 522 samples with subtype calls). LIHC Edmondson grade </w:t>
      </w:r>
      <w:r>
        <w:rPr>
          <w:rFonts w:ascii="Arial" w:hAnsi="Arial"/>
          <w:b w:val="0"/>
          <w:i w:val="0"/>
          <w:color w:val="000000"/>
          <w:sz w:val="22"/>
          <w:vertAlign w:val="superscript"/>
        </w:rPr>
        <w:t>15</w:t>
      </w:r>
      <w:r>
        <w:rPr>
          <w:rFonts w:ascii="Arial" w:hAnsi="Arial"/>
          <w:b w:val="0"/>
          <w:i w:val="0"/>
          <w:color w:val="000000"/>
          <w:sz w:val="22"/>
        </w:rPr>
        <w:t>: from cBioPortal, 288 tumors. LUAD mutations: from cBioPortal, 492 samples (61 EGFR, 120 KRAS, 311 WT).</w:t>
      </w:r>
    </w:p>
    <w:p>
      <w:pPr>
        <w:spacing w:line="276" w:lineRule="auto" w:after="80"/>
        <w:ind w:firstLine="0"/>
      </w:pPr>
      <w:r>
        <w:rPr>
          <w:rFonts w:ascii="Arial" w:hAnsi="Arial"/>
          <w:b w:val="0"/>
          <w:i w:val="0"/>
          <w:color w:val="000000"/>
          <w:sz w:val="22"/>
        </w:rPr>
        <w:t xml:space="preserve">Human brain atlas </w:t>
      </w:r>
      <w:r>
        <w:rPr>
          <w:rFonts w:ascii="Arial" w:hAnsi="Arial"/>
          <w:b w:val="0"/>
          <w:i w:val="0"/>
          <w:color w:val="000000"/>
          <w:sz w:val="22"/>
          <w:vertAlign w:val="superscript"/>
        </w:rPr>
        <w:t>12</w:t>
      </w:r>
      <w:r>
        <w:rPr>
          <w:rFonts w:ascii="Arial" w:hAnsi="Arial"/>
          <w:b w:val="0"/>
          <w:i w:val="0"/>
          <w:color w:val="000000"/>
          <w:sz w:val="22"/>
        </w:rPr>
        <w:t>: Siletti et al. (2023) single-nucleus RNA-seq (v3.11) from CZ CELLxGENE Discover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and cell-type classification ROC-AUC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Statistics and reproducibility),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Supplementary Note 12).</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w:t>
      </w:r>
    </w:p>
    <w:p>
      <w:pPr>
        <w:spacing w:line="276" w:lineRule="auto" w:after="80"/>
        <w:ind w:firstLine="0"/>
      </w:pPr>
      <w:r>
        <w:rPr>
          <w:rFonts w:ascii="Arial" w:hAnsi="Arial"/>
          <w:b w:val="0"/>
          <w:i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Supplementary Note 1 and the results/groundtruth_simulation_*.csv files of the companion repository.</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 xml:space="preserve">To test ω on a real perturbation with known ground truth, we re-analyzed the droplet arm of Kang et al. </w:t>
      </w:r>
      <w:r>
        <w:rPr>
          <w:rFonts w:ascii="Arial" w:hAnsi="Arial"/>
          <w:b w:val="0"/>
          <w:i w:val="0"/>
          <w:color w:val="000000"/>
          <w:sz w:val="22"/>
          <w:vertAlign w:val="superscript"/>
        </w:rPr>
        <w:t>14</w:t>
      </w:r>
      <w:r>
        <w:rPr>
          <w:rFonts w:ascii="Arial" w:hAnsi="Arial"/>
          <w:b w:val="0"/>
          <w:i w:val="0"/>
          <w:color w:val="000000"/>
          <w:sz w:val="22"/>
        </w:rPr>
        <w:t xml:space="preserve">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Supplementary Note 6):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Supplementary Note 7 and the results/fixed_panel_ablation_* files of the companion repository.</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 xml:space="preserve">For TCGA clinical severity analysis, we computed intratumoral ω for samples within each clinical stratum using the hybrid scheme. BRCA PAM50 subtype calls </w:t>
      </w:r>
      <w:r>
        <w:rPr>
          <w:rFonts w:ascii="Arial" w:hAnsi="Arial"/>
          <w:b w:val="0"/>
          <w:i w:val="0"/>
          <w:color w:val="000000"/>
          <w:sz w:val="22"/>
          <w:vertAlign w:val="superscript"/>
        </w:rPr>
        <w:t>16,17</w:t>
      </w:r>
      <w:r>
        <w:rPr>
          <w:rFonts w:ascii="Arial" w:hAnsi="Arial"/>
          <w:b w:val="0"/>
          <w:i w:val="0"/>
          <w:color w:val="000000"/>
          <w:sz w:val="22"/>
        </w:rPr>
        <w:t xml:space="preserve">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w:t>
      </w:r>
      <w:r>
        <w:rPr>
          <w:rFonts w:ascii="Arial" w:hAnsi="Arial"/>
          <w:b w:val="0"/>
          <w:i w:val="0"/>
          <w:color w:val="000000"/>
          <w:sz w:val="22"/>
          <w:vertAlign w:val="superscript"/>
        </w:rPr>
        <w:t>15</w:t>
      </w:r>
      <w:r>
        <w:rPr>
          <w:rFonts w:ascii="Arial" w:hAnsi="Arial"/>
          <w:b w:val="0"/>
          <w:i w:val="0"/>
          <w:color w:val="000000"/>
          <w:sz w:val="22"/>
        </w:rPr>
        <w:t xml:space="preserve">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Supplementary Note 9).</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 xml:space="preserve">Typical runtime for a single cell-type pair is under 5 minutes on a standard laptop; the full brain analysis (31,764 pairs) required approximately 72 core-hours on a Windows x64 workstation with at least 32 GB RAM (the verified environment of the Reproducibility Guide, Section 1.1; Additional file 2: Reproducibility Guide). All analyses were performed in Python 3.14.4 with scanpy 1.12.1 </w:t>
      </w:r>
      <w:r>
        <w:rPr>
          <w:rFonts w:ascii="Arial" w:hAnsi="Arial"/>
          <w:b w:val="0"/>
          <w:i w:val="0"/>
          <w:color w:val="000000"/>
          <w:sz w:val="22"/>
          <w:vertAlign w:val="superscript"/>
        </w:rPr>
        <w:t>46</w:t>
      </w:r>
      <w:r>
        <w:rPr>
          <w:rFonts w:ascii="Arial" w:hAnsi="Arial"/>
          <w:b w:val="0"/>
          <w:i w:val="0"/>
          <w:color w:val="000000"/>
          <w:sz w:val="22"/>
        </w:rPr>
        <w:t xml:space="preserve">, scipy ≥ 1.10.0, numpy ≥ 1.23.0, pandas ≥ 1.5.0, matplotlib ≥ 3.6.0, seaborn </w:t>
      </w:r>
      <w:r>
        <w:rPr>
          <w:rFonts w:ascii="Arial" w:hAnsi="Arial"/>
          <w:b w:val="0"/>
          <w:i w:val="0"/>
          <w:color w:val="000000"/>
          <w:sz w:val="22"/>
          <w:vertAlign w:val="superscript"/>
        </w:rPr>
        <w:t>52</w:t>
      </w:r>
      <w:r>
        <w:rPr>
          <w:rFonts w:ascii="Arial" w:hAnsi="Arial"/>
          <w:b w:val="0"/>
          <w:i w:val="0"/>
          <w:color w:val="000000"/>
          <w:sz w:val="22"/>
        </w:rPr>
        <w:t xml:space="preserve"> ≥ 0.12.0, and scikit-learn </w:t>
      </w:r>
      <w:r>
        <w:rPr>
          <w:rFonts w:ascii="Arial" w:hAnsi="Arial"/>
          <w:b w:val="0"/>
          <w:i w:val="0"/>
          <w:color w:val="000000"/>
          <w:sz w:val="22"/>
          <w:vertAlign w:val="superscript"/>
        </w:rPr>
        <w:t>53</w:t>
      </w:r>
      <w:r>
        <w:rPr>
          <w:rFonts w:ascii="Arial" w:hAnsi="Arial"/>
          <w:b w:val="0"/>
          <w:i w:val="0"/>
          <w:color w:val="000000"/>
          <w:sz w:val="22"/>
        </w:rPr>
        <w:t xml:space="preserve"> ≥ 1.2.0; random seeds were fixed at 42 throughout, except scripts 77/78/79, which used seed 20260903. Permutation results are stable with respect to seed choice: with B = 1,000 permutations the Monte Carlo standard error of the empirical P-value is approximately 0.016 at P = 0.5, so seed variation has negligible impact on statistical conclusions.</w:t>
      </w:r>
    </w:p>
    <w:p>
      <w:pPr>
        <w:pStyle w:val="Heading2"/>
        <w:spacing w:before="420" w:after="160"/>
      </w:pPr>
      <w:r>
        <w:rPr>
          <w:rFonts w:ascii="Arial" w:hAnsi="Arial"/>
          <w:color w:val="000000"/>
          <w:sz w:val="24"/>
          <w:b/>
        </w:rPr>
        <w:t>Statistics and reproducibility</w:t>
      </w:r>
    </w:p>
    <w:p>
      <w:pPr>
        <w:spacing w:line="276" w:lineRule="auto" w:after="80"/>
        <w:ind w:firstLine="0"/>
      </w:pPr>
      <w:r>
        <w:rPr>
          <w:rFonts w:ascii="Arial" w:hAnsi="Arial"/>
          <w:b w:val="0"/>
          <w:i w:val="0"/>
          <w:color w:val="000000"/>
          <w:sz w:val="22"/>
        </w:rPr>
        <w:t xml:space="preserve">We report summary statistics as mean ± s.d. (range) or median [IQR] as noted. Resampling-based inference </w:t>
      </w:r>
      <w:r>
        <w:rPr>
          <w:rFonts w:ascii="Arial" w:hAnsi="Arial"/>
          <w:b w:val="0"/>
          <w:i w:val="0"/>
          <w:color w:val="000000"/>
          <w:sz w:val="22"/>
          <w:vertAlign w:val="superscript"/>
        </w:rPr>
        <w:t>54</w:t>
      </w:r>
      <w:r>
        <w:rPr>
          <w:rFonts w:ascii="Arial" w:hAnsi="Arial"/>
          <w:b w:val="0"/>
          <w:i w:val="0"/>
          <w:color w:val="000000"/>
          <w:sz w:val="22"/>
        </w:rPr>
        <w:t xml:space="preserve">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w:t>
      </w:r>
      <w:r>
        <w:rPr>
          <w:rFonts w:ascii="Arial" w:hAnsi="Arial"/>
          <w:b w:val="0"/>
          <w:i w:val="0"/>
          <w:color w:val="000000"/>
          <w:sz w:val="22"/>
          <w:vertAlign w:val="superscript"/>
        </w:rPr>
        <w:t>45</w:t>
      </w:r>
      <w:r>
        <w:rPr>
          <w:rFonts w:ascii="Arial" w:hAnsi="Arial"/>
          <w:b w:val="0"/>
          <w:i w:val="0"/>
          <w:color w:val="000000"/>
          <w:sz w:val="22"/>
        </w:rPr>
        <w:t xml:space="preserve">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(Supplementary Note 3; notebooks/81_perclass_uncertainty.py).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(95% CI [7.37, 8.02];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2c)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B = 10,000 resamples. All analyses use JS divergence with base-2 logarithm. Sample sizes (n) are reported for each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TCGA data: NCI Genomic Data Commons (https://portal.gdc.cancer.gov/). HRT Atlas (optional human/mouse housekeeping-gene reference): https://www.housekeeping.unicamp.br. Human brain atlas: CZ CELLxGENE Discover, collection ID 283d65eb-dd53-496d-adb7-7570c7caa443 (https://cellxgene.cziscience.com/collections/283d65eb-dd53-496d-adb7-7570c7caa443, accessed July 2025). Kang et al. IFN-β-stimulated PBMC data: GEO accession GSE96583. BRCA PAM50 subtype assignments: cBioPortal (brca_tcga_pub study, PAM50_SUBTYPE clinical attribute). MSigDB Hallmark gene sets: Broad Institute Molecular Signatures Database.</w:t>
      </w:r>
    </w:p>
    <w:p>
      <w:pPr>
        <w:pStyle w:val="Heading1"/>
        <w:spacing w:before="420" w:after="160"/>
      </w:pPr>
      <w:r>
        <w:rPr>
          <w:rFonts w:ascii="Arial" w:hAnsi="Arial"/>
          <w:color w:val="000000"/>
          <w:sz w:val="28"/>
          <w:b/>
        </w:rPr>
        <w:t>Code availability</w:t>
      </w:r>
    </w:p>
    <w:p>
      <w:pPr>
        <w:spacing w:line="276" w:lineRule="auto" w:after="80"/>
        <w:ind w:firstLine="0"/>
      </w:pPr>
      <w:r>
        <w:rPr>
          <w:rFonts w:ascii="Arial" w:hAnsi="Arial"/>
          <w:b w:val="0"/>
          <w:i w:val="0"/>
          <w:color w:val="000000"/>
          <w:sz w:val="22"/>
        </w:rPr>
        <w:t>The CKI source code (v0.5.0) is publicly available at https://github.com/zhanglknt/CKI-cell-type-identification (tag v0.5.0) under the MIT License. A permanent archival copy has been deposited at Zenodo (concept DOI: 10.5281/zenodo.20405458; version DOI for v0.5.0: 10.5281/zenodo.22735744). The package requires Python ≥3.10 and runs on Linux, macOS, and Windows. A Dockerfile is provided in the repository for containerized reproducibility. All analysis notebooks and processed data matrices are available in the same GitHub repository (tag v0.5.0) and are included in the Zenodo archive (concept DOI: 10.5281/zenodo.20405458).</w:t>
      </w:r>
    </w:p>
    <w:p>
      <w:pPr>
        <w:pStyle w:val="Heading1"/>
        <w:spacing w:before="420" w:after="160"/>
      </w:pPr>
      <w:r>
        <w:rPr>
          <w:rFonts w:ascii="Arial" w:hAnsi="Arial"/>
          <w:color w:val="000000"/>
          <w:sz w:val="28"/>
          <w:b/>
        </w:rPr>
        <w:t>References</w:t>
      </w:r>
    </w:p>
    <w:p>
      <w:pPr>
        <w:spacing w:line="276" w:lineRule="auto" w:after="60"/>
      </w:pPr>
      <w:r>
        <w:rPr>
          <w:rFonts w:ascii="Arial" w:hAnsi="Arial"/>
          <w:b w:val="0"/>
          <w:i w:val="0"/>
          <w:color w:val="000000"/>
          <w:sz w:val="20"/>
        </w:rPr>
        <w:t xml:space="preserve">1. Regev, A. et al. The Human Cell Atlas.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e27041 (2017).</w:t>
      </w:r>
    </w:p>
    <w:p>
      <w:pPr>
        <w:spacing w:line="276" w:lineRule="auto" w:after="60"/>
      </w:pPr>
      <w:r>
        <w:rPr>
          <w:rFonts w:ascii="Arial" w:hAnsi="Arial"/>
          <w:b w:val="0"/>
          <w:i w:val="0"/>
          <w:color w:val="000000"/>
          <w:sz w:val="20"/>
        </w:rPr>
        <w:t xml:space="preserve">2. Korsunsky, I. et al. Fast, sensitive and accurate integration of single-cell data with Harmony.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16,</w:t>
      </w:r>
      <w:r>
        <w:rPr>
          <w:rFonts w:ascii="Arial" w:hAnsi="Arial"/>
          <w:b w:val="0"/>
          <w:i w:val="0"/>
          <w:color w:val="000000"/>
          <w:sz w:val="20"/>
        </w:rPr>
        <w:t xml:space="preserve"> 1289–1296 (2019).</w:t>
      </w:r>
    </w:p>
    <w:p>
      <w:pPr>
        <w:spacing w:line="276" w:lineRule="auto" w:after="60"/>
      </w:pPr>
      <w:r>
        <w:rPr>
          <w:rFonts w:ascii="Arial" w:hAnsi="Arial"/>
          <w:b w:val="0"/>
          <w:i w:val="0"/>
          <w:color w:val="000000"/>
          <w:sz w:val="20"/>
        </w:rPr>
        <w:t xml:space="preserve">3. Lopez, R., Regier, J., Cole, M. B., Jordan, M. I. &amp; Yosef, N. Deep generative modeling for single-cell transcriptomics.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1053–1058 (2018).</w:t>
      </w:r>
    </w:p>
    <w:p>
      <w:pPr>
        <w:spacing w:line="276" w:lineRule="auto" w:after="60"/>
      </w:pPr>
      <w:r>
        <w:rPr>
          <w:rFonts w:ascii="Arial" w:hAnsi="Arial"/>
          <w:b w:val="0"/>
          <w:i w:val="0"/>
          <w:color w:val="000000"/>
          <w:sz w:val="20"/>
        </w:rPr>
        <w:t xml:space="preserve">4. Rosen, Y. et al. Toward universal cell embeddings: integrating single-cell RNA-seq datasets across species with SATURN.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1492–1500 (2024).</w:t>
      </w:r>
    </w:p>
    <w:p>
      <w:pPr>
        <w:spacing w:line="276" w:lineRule="auto" w:after="60"/>
      </w:pPr>
      <w:r>
        <w:rPr>
          <w:rFonts w:ascii="Arial" w:hAnsi="Arial"/>
          <w:b w:val="0"/>
          <w:i w:val="0"/>
          <w:color w:val="000000"/>
          <w:sz w:val="20"/>
        </w:rPr>
        <w:t xml:space="preserve">5. Tran, H. T. N. et al. A benchmark of batch-effect correction methods for single-cell RNA sequencing data.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12 (2020).</w:t>
      </w:r>
    </w:p>
    <w:p>
      <w:pPr>
        <w:spacing w:line="276" w:lineRule="auto" w:after="60"/>
      </w:pPr>
      <w:r>
        <w:rPr>
          <w:rFonts w:ascii="Arial" w:hAnsi="Arial"/>
          <w:b w:val="0"/>
          <w:i w:val="0"/>
          <w:color w:val="000000"/>
          <w:sz w:val="20"/>
        </w:rPr>
        <w:t xml:space="preserve">6. Nei, M. &amp; Gojobori, T. Simple methods for estimating the numbers of synonymous and nonsynonymous nucleotide substitutions.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418–426 (1986).</w:t>
      </w:r>
    </w:p>
    <w:p>
      <w:pPr>
        <w:spacing w:line="276" w:lineRule="auto" w:after="60"/>
      </w:pPr>
      <w:r>
        <w:rPr>
          <w:rFonts w:ascii="Arial" w:hAnsi="Arial"/>
          <w:b w:val="0"/>
          <w:i w:val="0"/>
          <w:color w:val="000000"/>
          <w:sz w:val="20"/>
        </w:rPr>
        <w:t xml:space="preserve">7. Yang, Z. PAML 4: phylogenetic analysis by maximum likelihood.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24,</w:t>
      </w:r>
      <w:r>
        <w:rPr>
          <w:rFonts w:ascii="Arial" w:hAnsi="Arial"/>
          <w:b w:val="0"/>
          <w:i w:val="0"/>
          <w:color w:val="000000"/>
          <w:sz w:val="20"/>
        </w:rPr>
        <w:t xml:space="preserve"> 1586–1591 (2007).</w:t>
      </w:r>
    </w:p>
    <w:p>
      <w:pPr>
        <w:spacing w:line="276" w:lineRule="auto" w:after="60"/>
      </w:pPr>
      <w:r>
        <w:rPr>
          <w:rFonts w:ascii="Arial" w:hAnsi="Arial"/>
          <w:b w:val="0"/>
          <w:i w:val="0"/>
          <w:color w:val="000000"/>
          <w:sz w:val="20"/>
        </w:rPr>
        <w:t xml:space="preserve">8. Tabula Muris Consortium. Single-cell transcriptomics of 20 mouse organs creates a Tabula Muris.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562,</w:t>
      </w:r>
      <w:r>
        <w:rPr>
          <w:rFonts w:ascii="Arial" w:hAnsi="Arial"/>
          <w:b w:val="0"/>
          <w:i w:val="0"/>
          <w:color w:val="000000"/>
          <w:sz w:val="20"/>
        </w:rPr>
        <w:t xml:space="preserve"> 367–372 (2018).</w:t>
      </w:r>
    </w:p>
    <w:p>
      <w:pPr>
        <w:spacing w:line="276" w:lineRule="auto" w:after="60"/>
      </w:pPr>
      <w:r>
        <w:rPr>
          <w:rFonts w:ascii="Arial" w:hAnsi="Arial"/>
          <w:b w:val="0"/>
          <w:i w:val="0"/>
          <w:color w:val="000000"/>
          <w:sz w:val="20"/>
        </w:rPr>
        <w:t xml:space="preserve">9. Tabula Sapiens Consortium. The Tabula Sapiens: a multiple-organ, single-cell transcriptomic atlas of humans.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376,</w:t>
      </w:r>
      <w:r>
        <w:rPr>
          <w:rFonts w:ascii="Arial" w:hAnsi="Arial"/>
          <w:b w:val="0"/>
          <w:i w:val="0"/>
          <w:color w:val="000000"/>
          <w:sz w:val="20"/>
        </w:rPr>
        <w:t xml:space="preserve"> eabl4896 (2022).</w:t>
      </w:r>
    </w:p>
    <w:p>
      <w:pPr>
        <w:spacing w:line="276" w:lineRule="auto" w:after="60"/>
      </w:pPr>
      <w:r>
        <w:rPr>
          <w:rFonts w:ascii="Arial" w:hAnsi="Arial"/>
          <w:b w:val="0"/>
          <w:i w:val="0"/>
          <w:color w:val="000000"/>
          <w:sz w:val="20"/>
        </w:rPr>
        <w:t xml:space="preserve">10. Cancer Genome Atlas Research Network. Comprehensive molecular profiling of lung adenocarcinoma.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511,</w:t>
      </w:r>
      <w:r>
        <w:rPr>
          <w:rFonts w:ascii="Arial" w:hAnsi="Arial"/>
          <w:b w:val="0"/>
          <w:i w:val="0"/>
          <w:color w:val="000000"/>
          <w:sz w:val="20"/>
        </w:rPr>
        <w:t xml:space="preserve"> 543–550 (2014).</w:t>
      </w:r>
    </w:p>
    <w:p>
      <w:pPr>
        <w:spacing w:line="276" w:lineRule="auto" w:after="60"/>
      </w:pPr>
      <w:r>
        <w:rPr>
          <w:rFonts w:ascii="Arial" w:hAnsi="Arial"/>
          <w:b w:val="0"/>
          <w:i w:val="0"/>
          <w:color w:val="000000"/>
          <w:sz w:val="20"/>
        </w:rPr>
        <w:t xml:space="preserve">11. Cancer Genome Atlas Network. Comprehensive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490,</w:t>
      </w:r>
      <w:r>
        <w:rPr>
          <w:rFonts w:ascii="Arial" w:hAnsi="Arial"/>
          <w:b w:val="0"/>
          <w:i w:val="0"/>
          <w:color w:val="000000"/>
          <w:sz w:val="20"/>
        </w:rPr>
        <w:t xml:space="preserve"> 61–70 (2012).</w:t>
      </w:r>
    </w:p>
    <w:p>
      <w:pPr>
        <w:spacing w:line="276" w:lineRule="auto" w:after="60"/>
      </w:pPr>
      <w:r>
        <w:rPr>
          <w:rFonts w:ascii="Arial" w:hAnsi="Arial"/>
          <w:b w:val="0"/>
          <w:i w:val="0"/>
          <w:color w:val="000000"/>
          <w:sz w:val="20"/>
        </w:rPr>
        <w:t xml:space="preserve">12. Siletti, K. et al. Transcriptomic diversity of cell types across the adult human brain.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382,</w:t>
      </w:r>
      <w:r>
        <w:rPr>
          <w:rFonts w:ascii="Arial" w:hAnsi="Arial"/>
          <w:b w:val="0"/>
          <w:i w:val="0"/>
          <w:color w:val="000000"/>
          <w:sz w:val="20"/>
        </w:rPr>
        <w:t xml:space="preserve"> eadd7046 (2023).</w:t>
      </w:r>
    </w:p>
    <w:p>
      <w:pPr>
        <w:spacing w:line="276" w:lineRule="auto" w:after="60"/>
      </w:pPr>
      <w:r>
        <w:rPr>
          <w:rFonts w:ascii="Arial" w:hAnsi="Arial"/>
          <w:b w:val="0"/>
          <w:i w:val="0"/>
          <w:color w:val="000000"/>
          <w:sz w:val="20"/>
        </w:rPr>
        <w:t xml:space="preserve">13. Hounkpe, B. W., Chenou, F., de Lima, F. &amp; De Paula, E. V. HRT Atlas v1.0 database: redefining human and mouse housekeeping genes and candidate reference transcripts by mining massive RNA-seq datasets.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49,</w:t>
      </w:r>
      <w:r>
        <w:rPr>
          <w:rFonts w:ascii="Arial" w:hAnsi="Arial"/>
          <w:b w:val="0"/>
          <w:i w:val="0"/>
          <w:color w:val="000000"/>
          <w:sz w:val="20"/>
        </w:rPr>
        <w:t xml:space="preserve"> D947–D955 (2021).</w:t>
      </w:r>
    </w:p>
    <w:p>
      <w:pPr>
        <w:spacing w:line="276" w:lineRule="auto" w:after="60"/>
      </w:pPr>
      <w:r>
        <w:rPr>
          <w:rFonts w:ascii="Arial" w:hAnsi="Arial"/>
          <w:b w:val="0"/>
          <w:i w:val="0"/>
          <w:color w:val="000000"/>
          <w:sz w:val="20"/>
        </w:rPr>
        <w:t xml:space="preserve">14. Kang, H. M. et al. Multiplexed droplet single-cell RNA-sequencing using natural genetic variation.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36,</w:t>
      </w:r>
      <w:r>
        <w:rPr>
          <w:rFonts w:ascii="Arial" w:hAnsi="Arial"/>
          <w:b w:val="0"/>
          <w:i w:val="0"/>
          <w:color w:val="000000"/>
          <w:sz w:val="20"/>
        </w:rPr>
        <w:t xml:space="preserve"> 89–94 (2018).</w:t>
      </w:r>
    </w:p>
    <w:p>
      <w:pPr>
        <w:spacing w:line="276" w:lineRule="auto" w:after="60"/>
      </w:pPr>
      <w:r>
        <w:rPr>
          <w:rFonts w:ascii="Arial" w:hAnsi="Arial"/>
          <w:b w:val="0"/>
          <w:i w:val="0"/>
          <w:color w:val="000000"/>
          <w:sz w:val="20"/>
        </w:rPr>
        <w:t xml:space="preserve">15. Edmondson, H. A. &amp; Steiner, P. E. Primary carcinoma of the liver: a study of 100 cases among 48,900 necropsies. </w:t>
      </w:r>
      <w:r>
        <w:rPr>
          <w:rFonts w:ascii="Arial" w:hAnsi="Arial"/>
          <w:b w:val="0"/>
          <w:i/>
          <w:color w:val="000000"/>
          <w:sz w:val="20"/>
        </w:rPr>
        <w:t>Cancer</w:t>
      </w:r>
      <w:r>
        <w:rPr>
          <w:rFonts w:ascii="Arial" w:hAnsi="Arial"/>
          <w:b w:val="0"/>
          <w:i w:val="0"/>
          <w:color w:val="000000"/>
          <w:sz w:val="20"/>
        </w:rPr>
        <w:t xml:space="preserve"> </w:t>
      </w:r>
      <w:r>
        <w:rPr>
          <w:rFonts w:ascii="Arial" w:hAnsi="Arial"/>
          <w:b/>
          <w:i w:val="0"/>
          <w:color w:val="000000"/>
          <w:sz w:val="20"/>
        </w:rPr>
        <w:t>7,</w:t>
      </w:r>
      <w:r>
        <w:rPr>
          <w:rFonts w:ascii="Arial" w:hAnsi="Arial"/>
          <w:b w:val="0"/>
          <w:i w:val="0"/>
          <w:color w:val="000000"/>
          <w:sz w:val="20"/>
        </w:rPr>
        <w:t xml:space="preserve"> 462–503 (1954).</w:t>
      </w:r>
    </w:p>
    <w:p>
      <w:pPr>
        <w:spacing w:line="276" w:lineRule="auto" w:after="60"/>
      </w:pPr>
      <w:r>
        <w:rPr>
          <w:rFonts w:ascii="Arial" w:hAnsi="Arial"/>
          <w:b w:val="0"/>
          <w:i w:val="0"/>
          <w:color w:val="000000"/>
          <w:sz w:val="20"/>
        </w:rPr>
        <w:t xml:space="preserve">16. Perou, C. M. et al.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406,</w:t>
      </w:r>
      <w:r>
        <w:rPr>
          <w:rFonts w:ascii="Arial" w:hAnsi="Arial"/>
          <w:b w:val="0"/>
          <w:i w:val="0"/>
          <w:color w:val="000000"/>
          <w:sz w:val="20"/>
        </w:rPr>
        <w:t xml:space="preserve"> 747–752 (2000).</w:t>
      </w:r>
    </w:p>
    <w:p>
      <w:pPr>
        <w:spacing w:line="276" w:lineRule="auto" w:after="60"/>
      </w:pPr>
      <w:r>
        <w:rPr>
          <w:rFonts w:ascii="Arial" w:hAnsi="Arial"/>
          <w:b w:val="0"/>
          <w:i w:val="0"/>
          <w:color w:val="000000"/>
          <w:sz w:val="20"/>
        </w:rPr>
        <w:t xml:space="preserve">17. Parker, J. S. et al. Supervised risk predictor of breast cancer based on intrinsic subtypes. </w:t>
      </w:r>
      <w:r>
        <w:rPr>
          <w:rFonts w:ascii="Arial" w:hAnsi="Arial"/>
          <w:b w:val="0"/>
          <w:i/>
          <w:color w:val="000000"/>
          <w:sz w:val="20"/>
        </w:rPr>
        <w:t>J. Clin. Oncol.</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1160–1167 (2009).</w:t>
      </w:r>
    </w:p>
    <w:p>
      <w:pPr>
        <w:spacing w:line="276" w:lineRule="auto" w:after="60"/>
      </w:pPr>
      <w:r>
        <w:rPr>
          <w:rFonts w:ascii="Arial" w:hAnsi="Arial"/>
          <w:b w:val="0"/>
          <w:i w:val="0"/>
          <w:color w:val="000000"/>
          <w:sz w:val="20"/>
        </w:rPr>
        <w:t xml:space="preserve">18. Wälchli, T. et al. Single-cell atlas of the human brain vasculature across development, adulthood and disease.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632,</w:t>
      </w:r>
      <w:r>
        <w:rPr>
          <w:rFonts w:ascii="Arial" w:hAnsi="Arial"/>
          <w:b w:val="0"/>
          <w:i w:val="0"/>
          <w:color w:val="000000"/>
          <w:sz w:val="20"/>
        </w:rPr>
        <w:t xml:space="preserve"> 603–613 (2024).</w:t>
      </w:r>
    </w:p>
    <w:p>
      <w:pPr>
        <w:spacing w:line="276" w:lineRule="auto" w:after="60"/>
      </w:pPr>
      <w:r>
        <w:rPr>
          <w:rFonts w:ascii="Arial" w:hAnsi="Arial"/>
          <w:b w:val="0"/>
          <w:i w:val="0"/>
          <w:color w:val="000000"/>
          <w:sz w:val="20"/>
        </w:rPr>
        <w:t xml:space="preserve">19. Pfau, S. J. et al. Characteristics of blood-brain barrier heterogeneity between brain regions revealed by profiling vascular and perivascular cells.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1892–1903 (2024).</w:t>
      </w:r>
    </w:p>
    <w:p>
      <w:pPr>
        <w:spacing w:line="276" w:lineRule="auto" w:after="60"/>
      </w:pPr>
      <w:r>
        <w:rPr>
          <w:rFonts w:ascii="Arial" w:hAnsi="Arial"/>
          <w:b w:val="0"/>
          <w:i w:val="0"/>
          <w:color w:val="000000"/>
          <w:sz w:val="20"/>
        </w:rPr>
        <w:t xml:space="preserve">20. Jones, H. E. et al. Meningeal origins and dynamics of perivascular fibroblast development on the mouse cerebral vasculature. </w:t>
      </w:r>
      <w:r>
        <w:rPr>
          <w:rFonts w:ascii="Arial" w:hAnsi="Arial"/>
          <w:b w:val="0"/>
          <w:i/>
          <w:color w:val="000000"/>
          <w:sz w:val="20"/>
        </w:rPr>
        <w:t>Development</w:t>
      </w:r>
      <w:r>
        <w:rPr>
          <w:rFonts w:ascii="Arial" w:hAnsi="Arial"/>
          <w:b w:val="0"/>
          <w:i w:val="0"/>
          <w:color w:val="000000"/>
          <w:sz w:val="20"/>
        </w:rPr>
        <w:t xml:space="preserve"> </w:t>
      </w:r>
      <w:r>
        <w:rPr>
          <w:rFonts w:ascii="Arial" w:hAnsi="Arial"/>
          <w:b/>
          <w:i w:val="0"/>
          <w:color w:val="000000"/>
          <w:sz w:val="20"/>
        </w:rPr>
        <w:t>150,</w:t>
      </w:r>
      <w:r>
        <w:rPr>
          <w:rFonts w:ascii="Arial" w:hAnsi="Arial"/>
          <w:b w:val="0"/>
          <w:i w:val="0"/>
          <w:color w:val="000000"/>
          <w:sz w:val="20"/>
        </w:rPr>
        <w:t xml:space="preserve"> dev201805 (2023).</w:t>
      </w:r>
    </w:p>
    <w:p>
      <w:pPr>
        <w:spacing w:line="276" w:lineRule="auto" w:after="60"/>
      </w:pPr>
      <w:r>
        <w:rPr>
          <w:rFonts w:ascii="Arial" w:hAnsi="Arial"/>
          <w:b w:val="0"/>
          <w:i w:val="0"/>
          <w:color w:val="000000"/>
          <w:sz w:val="20"/>
        </w:rPr>
        <w:t xml:space="preserve">21. Tan, Y. L., Yuan, Y. &amp; Tian, L. Microglial regional heterogeneity and its role in the brain. </w:t>
      </w:r>
      <w:r>
        <w:rPr>
          <w:rFonts w:ascii="Arial" w:hAnsi="Arial"/>
          <w:b w:val="0"/>
          <w:i/>
          <w:color w:val="000000"/>
          <w:sz w:val="20"/>
        </w:rPr>
        <w:t>Mol. Psychiatry</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351–367 (2020).</w:t>
      </w:r>
    </w:p>
    <w:p>
      <w:pPr>
        <w:spacing w:line="276" w:lineRule="auto" w:after="60"/>
      </w:pPr>
      <w:r>
        <w:rPr>
          <w:rFonts w:ascii="Arial" w:hAnsi="Arial"/>
          <w:b w:val="0"/>
          <w:i w:val="0"/>
          <w:color w:val="000000"/>
          <w:sz w:val="20"/>
        </w:rPr>
        <w:t xml:space="preserve">22. Barry-Carroll, L. &amp; Gomez-Nicola, D. The molecular determinants of microglial developmental dynamics. </w:t>
      </w:r>
      <w:r>
        <w:rPr>
          <w:rFonts w:ascii="Arial" w:hAnsi="Arial"/>
          <w:b w:val="0"/>
          <w:i/>
          <w:color w:val="000000"/>
          <w:sz w:val="20"/>
        </w:rPr>
        <w:t>Nat. Rev. Neurosci.</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414–427 (2024).</w:t>
      </w:r>
    </w:p>
    <w:p>
      <w:pPr>
        <w:spacing w:line="276" w:lineRule="auto" w:after="60"/>
      </w:pPr>
      <w:r>
        <w:rPr>
          <w:rFonts w:ascii="Arial" w:hAnsi="Arial"/>
          <w:b w:val="0"/>
          <w:i w:val="0"/>
          <w:color w:val="000000"/>
          <w:sz w:val="20"/>
        </w:rPr>
        <w:t xml:space="preserve">23. Menassa, D. A. et al. The spatiotemporal dynamics of microglia across the human lifespan. </w:t>
      </w:r>
      <w:r>
        <w:rPr>
          <w:rFonts w:ascii="Arial" w:hAnsi="Arial"/>
          <w:b w:val="0"/>
          <w:i/>
          <w:color w:val="000000"/>
          <w:sz w:val="20"/>
        </w:rPr>
        <w:t>Dev. Cell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2127–2139.e6 (2022).</w:t>
      </w:r>
    </w:p>
    <w:p>
      <w:pPr>
        <w:spacing w:line="276" w:lineRule="auto" w:after="60"/>
      </w:pPr>
      <w:r>
        <w:rPr>
          <w:rFonts w:ascii="Arial" w:hAnsi="Arial"/>
          <w:b w:val="0"/>
          <w:i w:val="0"/>
          <w:color w:val="000000"/>
          <w:sz w:val="20"/>
        </w:rPr>
        <w:t xml:space="preserve">24. Barry-Carroll, L. et al. Microglia colonize the developing brain by clonal expansion of highly proliferative progenitors, following allometric scaling. </w:t>
      </w:r>
      <w:r>
        <w:rPr>
          <w:rFonts w:ascii="Arial" w:hAnsi="Arial"/>
          <w:b w:val="0"/>
          <w:i/>
          <w:color w:val="000000"/>
          <w:sz w:val="20"/>
        </w:rPr>
        <w:t>Cell Rep.</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112425 (2023).</w:t>
      </w:r>
    </w:p>
    <w:p>
      <w:pPr>
        <w:spacing w:line="276" w:lineRule="auto" w:after="60"/>
      </w:pPr>
      <w:r>
        <w:rPr>
          <w:rFonts w:ascii="Arial" w:hAnsi="Arial"/>
          <w:b w:val="0"/>
          <w:i w:val="0"/>
          <w:color w:val="000000"/>
          <w:sz w:val="20"/>
        </w:rPr>
        <w:t xml:space="preserve">25. Tsai, H. H. et al. Oligodendrocyte precursors migrate along vasculature in the developing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351,</w:t>
      </w:r>
      <w:r>
        <w:rPr>
          <w:rFonts w:ascii="Arial" w:hAnsi="Arial"/>
          <w:b w:val="0"/>
          <w:i w:val="0"/>
          <w:color w:val="000000"/>
          <w:sz w:val="20"/>
        </w:rPr>
        <w:t xml:space="preserve"> 379–384 (2016).</w:t>
      </w:r>
    </w:p>
    <w:p>
      <w:pPr>
        <w:spacing w:line="276" w:lineRule="auto" w:after="60"/>
      </w:pPr>
      <w:r>
        <w:rPr>
          <w:rFonts w:ascii="Arial" w:hAnsi="Arial"/>
          <w:b w:val="0"/>
          <w:i w:val="0"/>
          <w:color w:val="000000"/>
          <w:sz w:val="20"/>
        </w:rPr>
        <w:t xml:space="preserve">26. Su, Y. et al. Astrocyte endfoot formation controls the termination of oligodendrocyte precursor cell perivascular migration during development.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111,</w:t>
      </w:r>
      <w:r>
        <w:rPr>
          <w:rFonts w:ascii="Arial" w:hAnsi="Arial"/>
          <w:b w:val="0"/>
          <w:i w:val="0"/>
          <w:color w:val="000000"/>
          <w:sz w:val="20"/>
        </w:rPr>
        <w:t xml:space="preserve"> 190–201.e8 (2023).</w:t>
      </w:r>
    </w:p>
    <w:p>
      <w:pPr>
        <w:spacing w:line="276" w:lineRule="auto" w:after="60"/>
      </w:pPr>
      <w:r>
        <w:rPr>
          <w:rFonts w:ascii="Arial" w:hAnsi="Arial"/>
          <w:b w:val="0"/>
          <w:i w:val="0"/>
          <w:color w:val="000000"/>
          <w:sz w:val="20"/>
        </w:rPr>
        <w:t xml:space="preserve">27. Foerster, S. et al. Developmental origin of oligodendrocytes determines their function in the adult brain.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1545–1554 (2024).</w:t>
      </w:r>
    </w:p>
    <w:p>
      <w:pPr>
        <w:spacing w:line="276" w:lineRule="auto" w:after="60"/>
      </w:pPr>
      <w:r>
        <w:rPr>
          <w:rFonts w:ascii="Arial" w:hAnsi="Arial"/>
          <w:b w:val="0"/>
          <w:i w:val="0"/>
          <w:color w:val="000000"/>
          <w:sz w:val="20"/>
        </w:rPr>
        <w:t xml:space="preserve">28. Reeber, S. L., Arancillo, M. &amp; Sillitoe, R. V. Bergmann glia are patterned into topographic molecular zones in the developing and adult mouse cerebellum. </w:t>
      </w:r>
      <w:r>
        <w:rPr>
          <w:rFonts w:ascii="Arial" w:hAnsi="Arial"/>
          <w:b w:val="0"/>
          <w:i/>
          <w:color w:val="000000"/>
          <w:sz w:val="20"/>
        </w:rPr>
        <w:t>Cerebellum</w:t>
      </w:r>
      <w:r>
        <w:rPr>
          <w:rFonts w:ascii="Arial" w:hAnsi="Arial"/>
          <w:b w:val="0"/>
          <w:i w:val="0"/>
          <w:color w:val="000000"/>
          <w:sz w:val="20"/>
        </w:rPr>
        <w:t xml:space="preserve"> </w:t>
      </w:r>
      <w:r>
        <w:rPr>
          <w:rFonts w:ascii="Arial" w:hAnsi="Arial"/>
          <w:b/>
          <w:i w:val="0"/>
          <w:color w:val="000000"/>
          <w:sz w:val="20"/>
        </w:rPr>
        <w:t>17,</w:t>
      </w:r>
      <w:r>
        <w:rPr>
          <w:rFonts w:ascii="Arial" w:hAnsi="Arial"/>
          <w:b w:val="0"/>
          <w:i w:val="0"/>
          <w:color w:val="000000"/>
          <w:sz w:val="20"/>
        </w:rPr>
        <w:t xml:space="preserve"> 392–403 (2018).</w:t>
      </w:r>
    </w:p>
    <w:p>
      <w:pPr>
        <w:spacing w:line="276" w:lineRule="auto" w:after="60"/>
      </w:pPr>
      <w:r>
        <w:rPr>
          <w:rFonts w:ascii="Arial" w:hAnsi="Arial"/>
          <w:b w:val="0"/>
          <w:i w:val="0"/>
          <w:color w:val="000000"/>
          <w:sz w:val="20"/>
        </w:rPr>
        <w:t xml:space="preserve">29. Yang, L. et al. Single-cell multi-omics analysis of lineage development and spatial organization in the human fetal cerebellum. </w:t>
      </w:r>
      <w:r>
        <w:rPr>
          <w:rFonts w:ascii="Arial" w:hAnsi="Arial"/>
          <w:b w:val="0"/>
          <w:i/>
          <w:color w:val="000000"/>
          <w:sz w:val="20"/>
        </w:rPr>
        <w:t>Cell Discov.</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22 (2024).</w:t>
      </w:r>
    </w:p>
    <w:p>
      <w:pPr>
        <w:spacing w:line="276" w:lineRule="auto" w:after="60"/>
      </w:pPr>
      <w:r>
        <w:rPr>
          <w:rFonts w:ascii="Arial" w:hAnsi="Arial"/>
          <w:b w:val="0"/>
          <w:i w:val="0"/>
          <w:color w:val="000000"/>
          <w:sz w:val="20"/>
        </w:rPr>
        <w:t xml:space="preserve">30. Zhang, Y. et al. Astrocyte allocation during brain development is controlled by Tcf4-mediated fate restriction. </w:t>
      </w:r>
      <w:r>
        <w:rPr>
          <w:rFonts w:ascii="Arial" w:hAnsi="Arial"/>
          <w:b w:val="0"/>
          <w:i/>
          <w:color w:val="000000"/>
          <w:sz w:val="20"/>
        </w:rPr>
        <w:t>EMBO J.</w:t>
      </w:r>
      <w:r>
        <w:rPr>
          <w:rFonts w:ascii="Arial" w:hAnsi="Arial"/>
          <w:b w:val="0"/>
          <w:i w:val="0"/>
          <w:color w:val="000000"/>
          <w:sz w:val="20"/>
        </w:rPr>
        <w:t xml:space="preserve"> </w:t>
      </w:r>
      <w:r>
        <w:rPr>
          <w:rFonts w:ascii="Arial" w:hAnsi="Arial"/>
          <w:b/>
          <w:i w:val="0"/>
          <w:color w:val="000000"/>
          <w:sz w:val="20"/>
        </w:rPr>
        <w:t>43,</w:t>
      </w:r>
      <w:r>
        <w:rPr>
          <w:rFonts w:ascii="Arial" w:hAnsi="Arial"/>
          <w:b w:val="0"/>
          <w:i w:val="0"/>
          <w:color w:val="000000"/>
          <w:sz w:val="20"/>
        </w:rPr>
        <w:t xml:space="preserve"> 5114–5140 (2024).</w:t>
      </w:r>
    </w:p>
    <w:p>
      <w:pPr>
        <w:spacing w:line="276" w:lineRule="auto" w:after="60"/>
      </w:pPr>
      <w:r>
        <w:rPr>
          <w:rFonts w:ascii="Arial" w:hAnsi="Arial"/>
          <w:b w:val="0"/>
          <w:i w:val="0"/>
          <w:color w:val="000000"/>
          <w:sz w:val="20"/>
        </w:rPr>
        <w:t xml:space="preserve">31. Vandesompele, J. et al. Accurate normalization of real-time quantitative RT-PCR data by geometric averaging of multiple internal control genes.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RESEARCH0034 (2002).</w:t>
      </w:r>
    </w:p>
    <w:p>
      <w:pPr>
        <w:spacing w:line="276" w:lineRule="auto" w:after="60"/>
      </w:pPr>
      <w:r>
        <w:rPr>
          <w:rFonts w:ascii="Arial" w:hAnsi="Arial"/>
          <w:b w:val="0"/>
          <w:i w:val="0"/>
          <w:color w:val="000000"/>
          <w:sz w:val="20"/>
        </w:rPr>
        <w:t xml:space="preserve">32. Eisenberg, E. &amp; Levanon, E. Y. Human housekeeping genes, revisited. </w:t>
      </w:r>
      <w:r>
        <w:rPr>
          <w:rFonts w:ascii="Arial" w:hAnsi="Arial"/>
          <w:b w:val="0"/>
          <w:i/>
          <w:color w:val="000000"/>
          <w:sz w:val="20"/>
        </w:rPr>
        <w:t>Trends Genet.</w:t>
      </w:r>
      <w:r>
        <w:rPr>
          <w:rFonts w:ascii="Arial" w:hAnsi="Arial"/>
          <w:b w:val="0"/>
          <w:i w:val="0"/>
          <w:color w:val="000000"/>
          <w:sz w:val="20"/>
        </w:rPr>
        <w:t xml:space="preserve"> </w:t>
      </w:r>
      <w:r>
        <w:rPr>
          <w:rFonts w:ascii="Arial" w:hAnsi="Arial"/>
          <w:b/>
          <w:i w:val="0"/>
          <w:color w:val="000000"/>
          <w:sz w:val="20"/>
        </w:rPr>
        <w:t>29,</w:t>
      </w:r>
      <w:r>
        <w:rPr>
          <w:rFonts w:ascii="Arial" w:hAnsi="Arial"/>
          <w:b w:val="0"/>
          <w:i w:val="0"/>
          <w:color w:val="000000"/>
          <w:sz w:val="20"/>
        </w:rPr>
        <w:t xml:space="preserve"> 569–574 (2013).</w:t>
      </w:r>
    </w:p>
    <w:p>
      <w:pPr>
        <w:spacing w:line="276" w:lineRule="auto" w:after="60"/>
      </w:pPr>
      <w:r>
        <w:rPr>
          <w:rFonts w:ascii="Arial" w:hAnsi="Arial"/>
          <w:b w:val="0"/>
          <w:i w:val="0"/>
          <w:color w:val="000000"/>
          <w:sz w:val="20"/>
        </w:rPr>
        <w:t xml:space="preserve">33. Elowitz, M. B., Levine, A. J., Siggia, E. D. &amp; Swain, P. S. Stochastic gene expression in a single cell.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297,</w:t>
      </w:r>
      <w:r>
        <w:rPr>
          <w:rFonts w:ascii="Arial" w:hAnsi="Arial"/>
          <w:b w:val="0"/>
          <w:i w:val="0"/>
          <w:color w:val="000000"/>
          <w:sz w:val="20"/>
        </w:rPr>
        <w:t xml:space="preserve"> 1183–1186 (2002).</w:t>
      </w:r>
    </w:p>
    <w:p>
      <w:pPr>
        <w:spacing w:line="276" w:lineRule="auto" w:after="60"/>
      </w:pPr>
      <w:r>
        <w:rPr>
          <w:rFonts w:ascii="Arial" w:hAnsi="Arial"/>
          <w:b w:val="0"/>
          <w:i w:val="0"/>
          <w:color w:val="000000"/>
          <w:sz w:val="20"/>
        </w:rPr>
        <w:t xml:space="preserve">34. Newman, J. R. S. et al. Single-cell proteomic analysis of S. cerevisiae reveals the architecture of biological noise.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441,</w:t>
      </w:r>
      <w:r>
        <w:rPr>
          <w:rFonts w:ascii="Arial" w:hAnsi="Arial"/>
          <w:b w:val="0"/>
          <w:i w:val="0"/>
          <w:color w:val="000000"/>
          <w:sz w:val="20"/>
        </w:rPr>
        <w:t xml:space="preserve"> 840–846 (2006).</w:t>
      </w:r>
    </w:p>
    <w:p>
      <w:pPr>
        <w:spacing w:line="276" w:lineRule="auto" w:after="60"/>
      </w:pPr>
      <w:r>
        <w:rPr>
          <w:rFonts w:ascii="Arial" w:hAnsi="Arial"/>
          <w:b w:val="0"/>
          <w:i w:val="0"/>
          <w:color w:val="000000"/>
          <w:sz w:val="20"/>
        </w:rPr>
        <w:t xml:space="preserve">35. Raj, A. &amp; van Oudenaarden, A. Nature, nurture, or chance: stochastic gene expression variation and its consequences on individual cellular fitness.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135,</w:t>
      </w:r>
      <w:r>
        <w:rPr>
          <w:rFonts w:ascii="Arial" w:hAnsi="Arial"/>
          <w:b w:val="0"/>
          <w:i w:val="0"/>
          <w:color w:val="000000"/>
          <w:sz w:val="20"/>
        </w:rPr>
        <w:t xml:space="preserve"> 216–226 (2008).</w:t>
      </w:r>
    </w:p>
    <w:p>
      <w:pPr>
        <w:spacing w:line="276" w:lineRule="auto" w:after="60"/>
      </w:pPr>
      <w:r>
        <w:rPr>
          <w:rFonts w:ascii="Arial" w:hAnsi="Arial"/>
          <w:b w:val="0"/>
          <w:i w:val="0"/>
          <w:color w:val="000000"/>
          <w:sz w:val="20"/>
        </w:rPr>
        <w:t xml:space="preserve">36. Tarashansky, A. J. et al. Mapping single-cell atlases throughout Metazoa unravels cell type evolution.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e66747 (2021).</w:t>
      </w:r>
    </w:p>
    <w:p>
      <w:pPr>
        <w:spacing w:line="276" w:lineRule="auto" w:after="60"/>
      </w:pPr>
      <w:r>
        <w:rPr>
          <w:rFonts w:ascii="Arial" w:hAnsi="Arial"/>
          <w:b w:val="0"/>
          <w:i w:val="0"/>
          <w:color w:val="000000"/>
          <w:sz w:val="20"/>
        </w:rPr>
        <w:t xml:space="preserve">37. Jiang, J. et al. CACIMAR: cross-species analysis of cell identities, markers, regulations, and interactions. </w:t>
      </w:r>
      <w:r>
        <w:rPr>
          <w:rFonts w:ascii="Arial" w:hAnsi="Arial"/>
          <w:b w:val="0"/>
          <w:i/>
          <w:color w:val="000000"/>
          <w:sz w:val="20"/>
        </w:rPr>
        <w:t>Brief. Bioinform.</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bbae283 (2024).</w:t>
      </w:r>
    </w:p>
    <w:p>
      <w:pPr>
        <w:spacing w:line="276" w:lineRule="auto" w:after="60"/>
      </w:pPr>
      <w:r>
        <w:rPr>
          <w:rFonts w:ascii="Arial" w:hAnsi="Arial"/>
          <w:b w:val="0"/>
          <w:i w:val="0"/>
          <w:color w:val="000000"/>
          <w:sz w:val="20"/>
        </w:rPr>
        <w:t xml:space="preserve">38. Skinnider, M. A. et al. Cell type prioritization in single-cell data.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39,</w:t>
      </w:r>
      <w:r>
        <w:rPr>
          <w:rFonts w:ascii="Arial" w:hAnsi="Arial"/>
          <w:b w:val="0"/>
          <w:i w:val="0"/>
          <w:color w:val="000000"/>
          <w:sz w:val="20"/>
        </w:rPr>
        <w:t xml:space="preserve"> 30–34 (2021).</w:t>
      </w:r>
    </w:p>
    <w:p>
      <w:pPr>
        <w:spacing w:line="276" w:lineRule="auto" w:after="60"/>
      </w:pPr>
      <w:r>
        <w:rPr>
          <w:rFonts w:ascii="Arial" w:hAnsi="Arial"/>
          <w:b w:val="0"/>
          <w:i w:val="0"/>
          <w:color w:val="000000"/>
          <w:sz w:val="20"/>
        </w:rPr>
        <w:t xml:space="preserve">39. Waxman, S. &amp; Wurmbach, E. De-regulation of common housekeeping genes in hepatocellular carcinoma. </w:t>
      </w:r>
      <w:r>
        <w:rPr>
          <w:rFonts w:ascii="Arial" w:hAnsi="Arial"/>
          <w:b w:val="0"/>
          <w:i/>
          <w:color w:val="000000"/>
          <w:sz w:val="20"/>
        </w:rPr>
        <w:t>BMC Genomics</w:t>
      </w:r>
      <w:r>
        <w:rPr>
          <w:rFonts w:ascii="Arial" w:hAnsi="Arial"/>
          <w:b w:val="0"/>
          <w:i w:val="0"/>
          <w:color w:val="000000"/>
          <w:sz w:val="20"/>
        </w:rPr>
        <w:t xml:space="preserve"> </w:t>
      </w:r>
      <w:r>
        <w:rPr>
          <w:rFonts w:ascii="Arial" w:hAnsi="Arial"/>
          <w:b/>
          <w:i w:val="0"/>
          <w:color w:val="000000"/>
          <w:sz w:val="20"/>
        </w:rPr>
        <w:t>8,</w:t>
      </w:r>
      <w:r>
        <w:rPr>
          <w:rFonts w:ascii="Arial" w:hAnsi="Arial"/>
          <w:b w:val="0"/>
          <w:i w:val="0"/>
          <w:color w:val="000000"/>
          <w:sz w:val="20"/>
        </w:rPr>
        <w:t xml:space="preserve"> 243 (2007).</w:t>
      </w:r>
    </w:p>
    <w:p>
      <w:pPr>
        <w:spacing w:line="276" w:lineRule="auto" w:after="60"/>
      </w:pPr>
      <w:r>
        <w:rPr>
          <w:rFonts w:ascii="Arial" w:hAnsi="Arial"/>
          <w:b w:val="0"/>
          <w:i w:val="0"/>
          <w:color w:val="000000"/>
          <w:sz w:val="20"/>
        </w:rPr>
        <w:t xml:space="preserve">40. Bakken, T. E. et al. Comparative cellular analysis of motor cortex in human, marmoset and mouse.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598,</w:t>
      </w:r>
      <w:r>
        <w:rPr>
          <w:rFonts w:ascii="Arial" w:hAnsi="Arial"/>
          <w:b w:val="0"/>
          <w:i w:val="0"/>
          <w:color w:val="000000"/>
          <w:sz w:val="20"/>
        </w:rPr>
        <w:t xml:space="preserve"> 111–119 (2021).</w:t>
      </w:r>
    </w:p>
    <w:p>
      <w:pPr>
        <w:spacing w:line="276" w:lineRule="auto" w:after="60"/>
      </w:pPr>
      <w:r>
        <w:rPr>
          <w:rFonts w:ascii="Arial" w:hAnsi="Arial"/>
          <w:b w:val="0"/>
          <w:i w:val="0"/>
          <w:color w:val="000000"/>
          <w:sz w:val="20"/>
        </w:rPr>
        <w:t xml:space="preserve">41. Marques, S. et al. Oligodendrocyte heterogeneity in the mouse juvenile and adult central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352,</w:t>
      </w:r>
      <w:r>
        <w:rPr>
          <w:rFonts w:ascii="Arial" w:hAnsi="Arial"/>
          <w:b w:val="0"/>
          <w:i w:val="0"/>
          <w:color w:val="000000"/>
          <w:sz w:val="20"/>
        </w:rPr>
        <w:t xml:space="preserve"> 1326–1329 (2016).</w:t>
      </w:r>
    </w:p>
    <w:p>
      <w:pPr>
        <w:spacing w:line="276" w:lineRule="auto" w:after="60"/>
      </w:pPr>
      <w:r>
        <w:rPr>
          <w:rFonts w:ascii="Arial" w:hAnsi="Arial"/>
          <w:b w:val="0"/>
          <w:i w:val="0"/>
          <w:color w:val="000000"/>
          <w:sz w:val="20"/>
        </w:rPr>
        <w:t xml:space="preserve">42. Spitzer, S. O. et al. Oligodendrocyte progenitor cells become regionally diverse and heterogeneous with age.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101,</w:t>
      </w:r>
      <w:r>
        <w:rPr>
          <w:rFonts w:ascii="Arial" w:hAnsi="Arial"/>
          <w:b w:val="0"/>
          <w:i w:val="0"/>
          <w:color w:val="000000"/>
          <w:sz w:val="20"/>
        </w:rPr>
        <w:t xml:space="preserve"> 459–471.e5 (2019).</w:t>
      </w:r>
    </w:p>
    <w:p>
      <w:pPr>
        <w:spacing w:line="276" w:lineRule="auto" w:after="60"/>
      </w:pPr>
      <w:r>
        <w:rPr>
          <w:rFonts w:ascii="Arial" w:hAnsi="Arial"/>
          <w:b w:val="0"/>
          <w:i w:val="0"/>
          <w:color w:val="000000"/>
          <w:sz w:val="20"/>
        </w:rPr>
        <w:t xml:space="preserve">43. Luecken, M. D. &amp; Theis, F. J. Current best practices in single-cell RNA-seq analysis: a tutorial. </w:t>
      </w:r>
      <w:r>
        <w:rPr>
          <w:rFonts w:ascii="Arial" w:hAnsi="Arial"/>
          <w:b w:val="0"/>
          <w:i/>
          <w:color w:val="000000"/>
          <w:sz w:val="20"/>
        </w:rPr>
        <w:t>Mol. Syst. Biol.</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e8746 (2019).</w:t>
      </w:r>
    </w:p>
    <w:p>
      <w:pPr>
        <w:spacing w:line="276" w:lineRule="auto" w:after="60"/>
      </w:pPr>
      <w:r>
        <w:rPr>
          <w:rFonts w:ascii="Arial" w:hAnsi="Arial"/>
          <w:b w:val="0"/>
          <w:i w:val="0"/>
          <w:color w:val="000000"/>
          <w:sz w:val="20"/>
        </w:rPr>
        <w:t xml:space="preserve">44. Lin, J. Divergence measures based on the Shannon entropy. </w:t>
      </w:r>
      <w:r>
        <w:rPr>
          <w:rFonts w:ascii="Arial" w:hAnsi="Arial"/>
          <w:b w:val="0"/>
          <w:i/>
          <w:color w:val="000000"/>
          <w:sz w:val="20"/>
        </w:rPr>
        <w:t>IEEE Trans. Inf. Theory</w:t>
      </w:r>
      <w:r>
        <w:rPr>
          <w:rFonts w:ascii="Arial" w:hAnsi="Arial"/>
          <w:b w:val="0"/>
          <w:i w:val="0"/>
          <w:color w:val="000000"/>
          <w:sz w:val="20"/>
        </w:rPr>
        <w:t xml:space="preserve"> </w:t>
      </w:r>
      <w:r>
        <w:rPr>
          <w:rFonts w:ascii="Arial" w:hAnsi="Arial"/>
          <w:b/>
          <w:i w:val="0"/>
          <w:color w:val="000000"/>
          <w:sz w:val="20"/>
        </w:rPr>
        <w:t>37,</w:t>
      </w:r>
      <w:r>
        <w:rPr>
          <w:rFonts w:ascii="Arial" w:hAnsi="Arial"/>
          <w:b w:val="0"/>
          <w:i w:val="0"/>
          <w:color w:val="000000"/>
          <w:sz w:val="20"/>
        </w:rPr>
        <w:t xml:space="preserve"> 145–151 (1991).</w:t>
      </w:r>
    </w:p>
    <w:p>
      <w:pPr>
        <w:spacing w:line="276" w:lineRule="auto" w:after="60"/>
      </w:pPr>
      <w:r>
        <w:rPr>
          <w:rFonts w:ascii="Arial" w:hAnsi="Arial"/>
          <w:b w:val="0"/>
          <w:i w:val="0"/>
          <w:color w:val="000000"/>
          <w:sz w:val="20"/>
        </w:rPr>
        <w:t xml:space="preserve">45. Benjamini, Y. &amp; Hochberg, Y. Controlling the false discovery rate: a practical and powerful approach to multiple testing. </w:t>
      </w:r>
      <w:r>
        <w:rPr>
          <w:rFonts w:ascii="Arial" w:hAnsi="Arial"/>
          <w:b w:val="0"/>
          <w:i/>
          <w:color w:val="000000"/>
          <w:sz w:val="20"/>
        </w:rPr>
        <w:t>J. R. Stat. Soc. Series B Stat. Methodol.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289–300 (1995).</w:t>
      </w:r>
    </w:p>
    <w:p>
      <w:pPr>
        <w:spacing w:line="276" w:lineRule="auto" w:after="60"/>
      </w:pPr>
      <w:r>
        <w:rPr>
          <w:rFonts w:ascii="Arial" w:hAnsi="Arial"/>
          <w:b w:val="0"/>
          <w:i w:val="0"/>
          <w:color w:val="000000"/>
          <w:sz w:val="20"/>
        </w:rPr>
        <w:t xml:space="preserve">46. Wolf, F. A., Angerer, P. &amp; Theis, F. J. SCANPY: large-scale single-cell gene expression data analysis.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19,</w:t>
      </w:r>
      <w:r>
        <w:rPr>
          <w:rFonts w:ascii="Arial" w:hAnsi="Arial"/>
          <w:b w:val="0"/>
          <w:i w:val="0"/>
          <w:color w:val="000000"/>
          <w:sz w:val="20"/>
        </w:rPr>
        <w:t xml:space="preserve"> 15 (2018).</w:t>
      </w:r>
    </w:p>
    <w:p>
      <w:pPr>
        <w:spacing w:line="276" w:lineRule="auto" w:after="60"/>
      </w:pPr>
      <w:r>
        <w:rPr>
          <w:rFonts w:ascii="Arial" w:hAnsi="Arial"/>
          <w:b w:val="0"/>
          <w:i w:val="0"/>
          <w:color w:val="000000"/>
          <w:sz w:val="20"/>
        </w:rPr>
        <w:t xml:space="preserve">47. Hao, Y. et al. Integrated analysis of multimodal single-cell data.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184,</w:t>
      </w:r>
      <w:r>
        <w:rPr>
          <w:rFonts w:ascii="Arial" w:hAnsi="Arial"/>
          <w:b w:val="0"/>
          <w:i w:val="0"/>
          <w:color w:val="000000"/>
          <w:sz w:val="20"/>
        </w:rPr>
        <w:t xml:space="preserve"> 3573–3587 (2021).</w:t>
      </w:r>
    </w:p>
    <w:p>
      <w:pPr>
        <w:spacing w:line="276" w:lineRule="auto" w:after="60"/>
      </w:pPr>
      <w:r>
        <w:rPr>
          <w:rFonts w:ascii="Arial" w:hAnsi="Arial"/>
          <w:b w:val="0"/>
          <w:i w:val="0"/>
          <w:color w:val="000000"/>
          <w:sz w:val="20"/>
        </w:rPr>
        <w:t xml:space="preserve">48. Hao, Y. et al. Dictionary learning for integrative, multimodal and scalable single-cell analysis.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293–304 (2024).</w:t>
      </w:r>
    </w:p>
    <w:p>
      <w:pPr>
        <w:spacing w:line="276" w:lineRule="auto" w:after="60"/>
      </w:pPr>
      <w:r>
        <w:rPr>
          <w:rFonts w:ascii="Arial" w:hAnsi="Arial"/>
          <w:b w:val="0"/>
          <w:i w:val="0"/>
          <w:color w:val="000000"/>
          <w:sz w:val="20"/>
        </w:rPr>
        <w:t xml:space="preserve">49. Weinstein, J. N. et al. The Cancer Genome Atlas Pan-Cancer analysis project. </w:t>
      </w:r>
      <w:r>
        <w:rPr>
          <w:rFonts w:ascii="Arial" w:hAnsi="Arial"/>
          <w:b w:val="0"/>
          <w:i/>
          <w:color w:val="000000"/>
          <w:sz w:val="20"/>
        </w:rPr>
        <w:t>Nat. Genet.</w:t>
      </w:r>
      <w:r>
        <w:rPr>
          <w:rFonts w:ascii="Arial" w:hAnsi="Arial"/>
          <w:b w:val="0"/>
          <w:i w:val="0"/>
          <w:color w:val="000000"/>
          <w:sz w:val="20"/>
        </w:rPr>
        <w:t xml:space="preserve"> </w:t>
      </w:r>
      <w:r>
        <w:rPr>
          <w:rFonts w:ascii="Arial" w:hAnsi="Arial"/>
          <w:b/>
          <w:i w:val="0"/>
          <w:color w:val="000000"/>
          <w:sz w:val="20"/>
        </w:rPr>
        <w:t>45,</w:t>
      </w:r>
      <w:r>
        <w:rPr>
          <w:rFonts w:ascii="Arial" w:hAnsi="Arial"/>
          <w:b w:val="0"/>
          <w:i w:val="0"/>
          <w:color w:val="000000"/>
          <w:sz w:val="20"/>
        </w:rPr>
        <w:t xml:space="preserve"> 1113–1120 (2013).</w:t>
      </w:r>
    </w:p>
    <w:p>
      <w:pPr>
        <w:spacing w:line="276" w:lineRule="auto" w:after="60"/>
      </w:pPr>
      <w:r>
        <w:rPr>
          <w:rFonts w:ascii="Arial" w:hAnsi="Arial"/>
          <w:b w:val="0"/>
          <w:i w:val="0"/>
          <w:color w:val="000000"/>
          <w:sz w:val="20"/>
        </w:rPr>
        <w:t xml:space="preserve">50. Colaprico, A. et al. TCGAbiolinks: an R/Bioconductor package for integrative analysis of TCGA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44,</w:t>
      </w:r>
      <w:r>
        <w:rPr>
          <w:rFonts w:ascii="Arial" w:hAnsi="Arial"/>
          <w:b w:val="0"/>
          <w:i w:val="0"/>
          <w:color w:val="000000"/>
          <w:sz w:val="20"/>
        </w:rPr>
        <w:t xml:space="preserve"> e71 (2016).</w:t>
      </w:r>
    </w:p>
    <w:p>
      <w:pPr>
        <w:spacing w:line="276" w:lineRule="auto" w:after="60"/>
      </w:pPr>
      <w:r>
        <w:rPr>
          <w:rFonts w:ascii="Arial" w:hAnsi="Arial"/>
          <w:b w:val="0"/>
          <w:i w:val="0"/>
          <w:color w:val="000000"/>
          <w:sz w:val="20"/>
        </w:rPr>
        <w:t xml:space="preserve">51. Cerami, E. et al. The cBio cancer genomics portal: an open platform for exploring multidimensional cancer genomics data. </w:t>
      </w:r>
      <w:r>
        <w:rPr>
          <w:rFonts w:ascii="Arial" w:hAnsi="Arial"/>
          <w:b w:val="0"/>
          <w:i/>
          <w:color w:val="000000"/>
          <w:sz w:val="20"/>
        </w:rPr>
        <w:t>Cancer Discov.</w:t>
      </w:r>
      <w:r>
        <w:rPr>
          <w:rFonts w:ascii="Arial" w:hAnsi="Arial"/>
          <w:b w:val="0"/>
          <w:i w:val="0"/>
          <w:color w:val="000000"/>
          <w:sz w:val="20"/>
        </w:rPr>
        <w:t xml:space="preserve"> </w:t>
      </w:r>
      <w:r>
        <w:rPr>
          <w:rFonts w:ascii="Arial" w:hAnsi="Arial"/>
          <w:b/>
          <w:i w:val="0"/>
          <w:color w:val="000000"/>
          <w:sz w:val="20"/>
        </w:rPr>
        <w:t>2,</w:t>
      </w:r>
      <w:r>
        <w:rPr>
          <w:rFonts w:ascii="Arial" w:hAnsi="Arial"/>
          <w:b w:val="0"/>
          <w:i w:val="0"/>
          <w:color w:val="000000"/>
          <w:sz w:val="20"/>
        </w:rPr>
        <w:t xml:space="preserve"> 401–404 (2012).</w:t>
      </w:r>
    </w:p>
    <w:p>
      <w:pPr>
        <w:spacing w:line="276" w:lineRule="auto" w:after="60"/>
      </w:pPr>
      <w:r>
        <w:rPr>
          <w:rFonts w:ascii="Arial" w:hAnsi="Arial"/>
          <w:b w:val="0"/>
          <w:i w:val="0"/>
          <w:color w:val="000000"/>
          <w:sz w:val="20"/>
        </w:rPr>
        <w:t xml:space="preserve">52. Waskom, M. L. seaborn: statistical data visualization. </w:t>
      </w:r>
      <w:r>
        <w:rPr>
          <w:rFonts w:ascii="Arial" w:hAnsi="Arial"/>
          <w:b w:val="0"/>
          <w:i/>
          <w:color w:val="000000"/>
          <w:sz w:val="20"/>
        </w:rPr>
        <w:t>J. Open Source Softw.</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3021 (2021).</w:t>
      </w:r>
    </w:p>
    <w:p>
      <w:pPr>
        <w:spacing w:line="276" w:lineRule="auto" w:after="60"/>
      </w:pPr>
      <w:r>
        <w:rPr>
          <w:rFonts w:ascii="Arial" w:hAnsi="Arial"/>
          <w:b w:val="0"/>
          <w:i w:val="0"/>
          <w:color w:val="000000"/>
          <w:sz w:val="20"/>
        </w:rPr>
        <w:t xml:space="preserve">53. Pedregosa, F. et al. Scikit-learn: machine learning in Python. </w:t>
      </w:r>
      <w:r>
        <w:rPr>
          <w:rFonts w:ascii="Arial" w:hAnsi="Arial"/>
          <w:b w:val="0"/>
          <w:i/>
          <w:color w:val="000000"/>
          <w:sz w:val="20"/>
        </w:rPr>
        <w:t>J. Mach. Learn. Res.</w:t>
      </w:r>
      <w:r>
        <w:rPr>
          <w:rFonts w:ascii="Arial" w:hAnsi="Arial"/>
          <w:b w:val="0"/>
          <w:i w:val="0"/>
          <w:color w:val="000000"/>
          <w:sz w:val="20"/>
        </w:rPr>
        <w:t xml:space="preserve"> </w:t>
      </w:r>
      <w:r>
        <w:rPr>
          <w:rFonts w:ascii="Arial" w:hAnsi="Arial"/>
          <w:b/>
          <w:i w:val="0"/>
          <w:color w:val="000000"/>
          <w:sz w:val="20"/>
        </w:rPr>
        <w:t>12,</w:t>
      </w:r>
      <w:r>
        <w:rPr>
          <w:rFonts w:ascii="Arial" w:hAnsi="Arial"/>
          <w:b w:val="0"/>
          <w:i w:val="0"/>
          <w:color w:val="000000"/>
          <w:sz w:val="20"/>
        </w:rPr>
        <w:t xml:space="preserve"> 2825–2830 (2011).</w:t>
      </w:r>
    </w:p>
    <w:p>
      <w:pPr>
        <w:spacing w:line="276" w:lineRule="auto" w:after="60"/>
      </w:pPr>
      <w:r>
        <w:rPr>
          <w:rFonts w:ascii="Arial" w:hAnsi="Arial"/>
          <w:b w:val="0"/>
          <w:i w:val="0"/>
          <w:color w:val="000000"/>
          <w:sz w:val="20"/>
        </w:rPr>
        <w:t>54. Efron, B. &amp; Tibshirani, R. J. An Introduction to the Bootstrap (Chapman and Hall/CRC, 1994).</w:t>
      </w:r>
    </w:p>
    <w:p>
      <w:pPr>
        <w:spacing w:line="276" w:lineRule="auto" w:after="60"/>
      </w:pPr>
      <w:r>
        <w:rPr>
          <w:rFonts w:ascii="Arial" w:hAnsi="Arial"/>
          <w:b w:val="0"/>
          <w:i w:val="0"/>
          <w:color w:val="000000"/>
          <w:sz w:val="20"/>
        </w:rPr>
        <w:t xml:space="preserve">55. CZI Cell Science Program. CZ CELLxGENE Discover: a single-cell data platform for scalable exploration, analysis and modeling of aggregated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53,</w:t>
      </w:r>
      <w:r>
        <w:rPr>
          <w:rFonts w:ascii="Arial" w:hAnsi="Arial"/>
          <w:b w:val="0"/>
          <w:i w:val="0"/>
          <w:color w:val="000000"/>
          <w:sz w:val="20"/>
        </w:rPr>
        <w:t xml:space="preserve"> D886–D900 (2025).</w:t>
      </w:r>
    </w:p>
    <w:p>
      <w:pPr>
        <w:spacing w:line="276" w:lineRule="auto" w:after="60"/>
      </w:pPr>
      <w:r>
        <w:rPr>
          <w:rFonts w:ascii="Arial" w:hAnsi="Arial"/>
          <w:b w:val="0"/>
          <w:i w:val="0"/>
          <w:color w:val="000000"/>
          <w:sz w:val="20"/>
        </w:rPr>
        <w:t xml:space="preserve">56. Liberzon, A. et al. The Molecular Signatures Database Hallmark Gene Set Collection. </w:t>
      </w:r>
      <w:r>
        <w:rPr>
          <w:rFonts w:ascii="Arial" w:hAnsi="Arial"/>
          <w:b w:val="0"/>
          <w:i/>
          <w:color w:val="000000"/>
          <w:sz w:val="20"/>
        </w:rPr>
        <w:t>Cell Syst.</w:t>
      </w:r>
      <w:r>
        <w:rPr>
          <w:rFonts w:ascii="Arial" w:hAnsi="Arial"/>
          <w:b w:val="0"/>
          <w:i w:val="0"/>
          <w:color w:val="000000"/>
          <w:sz w:val="20"/>
        </w:rPr>
        <w:t xml:space="preserve"> </w:t>
      </w:r>
      <w:r>
        <w:rPr>
          <w:rFonts w:ascii="Arial" w:hAnsi="Arial"/>
          <w:b/>
          <w:i w:val="0"/>
          <w:color w:val="000000"/>
          <w:sz w:val="20"/>
        </w:rPr>
        <w:t>1,</w:t>
      </w:r>
      <w:r>
        <w:rPr>
          <w:rFonts w:ascii="Arial" w:hAnsi="Arial"/>
          <w:b w:val="0"/>
          <w:i w:val="0"/>
          <w:color w:val="000000"/>
          <w:sz w:val="20"/>
        </w:rPr>
        <w:t xml:space="preserve"> 417–425 (2015).</w:t>
      </w:r>
    </w:p>
    <w:p>
      <w:pPr>
        <w:pStyle w:val="Heading1"/>
        <w:spacing w:before="420" w:after="160"/>
      </w:pPr>
      <w:r>
        <w:rPr>
          <w:rFonts w:ascii="Arial" w:hAnsi="Arial"/>
          <w:color w:val="000000"/>
          <w:sz w:val="28"/>
          <w:b/>
        </w:rPr>
        <w:t>Acknowledgements</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Author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1"/>
        <w:spacing w:before="420" w:after="160"/>
      </w:pPr>
      <w:r>
        <w:rPr>
          <w:rFonts w:ascii="Arial" w:hAnsi="Arial"/>
          <w:color w:val="000000"/>
          <w:sz w:val="28"/>
          <w:b/>
        </w:rPr>
        <w:t>Competing interests</w:t>
      </w:r>
    </w:p>
    <w:p>
      <w:pPr>
        <w:spacing w:line="276" w:lineRule="auto" w:after="80"/>
        <w:ind w:firstLine="0"/>
      </w:pPr>
      <w:r>
        <w:rPr>
          <w:rFonts w:ascii="Arial" w:hAnsi="Arial"/>
          <w:b w:val="0"/>
          <w:i w:val="0"/>
          <w:color w:val="000000"/>
          <w:sz w:val="22"/>
        </w:rPr>
        <w:t>The authors declare no competing interests.</w:t>
      </w:r>
    </w:p>
    <w:p>
      <w:pPr>
        <w:spacing w:line="276" w:lineRule="auto" w:after="80"/>
        <w:ind w:firstLine="0"/>
      </w:pPr>
      <w:r>
        <w:rPr>
          <w:rFonts w:ascii="Arial" w:hAnsi="Arial"/>
          <w:b w:val="0"/>
          <w:i w:val="0"/>
          <w:color w:val="000000"/>
          <w:sz w:val="22"/>
        </w:rPr>
        <w:t>Supplementary Information is available for this paper: Supplementary Notes 1–15, Supplementary Figs. 1–13, and Supplementary Tables 1–4 (accompanying CKI_Supplementary document). Additional file 2: Reproducibility Guide provides step-by-step instructions, the verified computational environment, and spot-check values for reproducing all analyses, figures, and tables reported in this work.</w:t>
      </w:r>
    </w:p>
    <w:p>
      <w:pPr>
        <w:spacing w:line="276" w:lineRule="auto" w:after="80"/>
        <w:ind w:firstLine="0"/>
      </w:pPr>
      <w:r>
        <w:rPr>
          <w:rFonts w:ascii="Arial" w:hAnsi="Arial"/>
          <w:b w:val="0"/>
          <w:i w:val="0"/>
          <w:color w:val="000000"/>
          <w:sz w:val="22"/>
        </w:rPr>
        <w:t>Correspondence and requests for materials should be addressed to L.Z.</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 and identity gene divergence for k_f; ω = k_f/k_n quantifies transcriptomic divergence relative to the baseline.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95% CI [7.37, 8.02])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ω distribution by comparison category (log scale) from the mouse pilot calibration dataset. Boxes: median and IQR; whiskers, 1.5× IQR. ω increases monotonically from control splits (c) to cross-organ comparisons (X); X vs. C, one-sided Mann-Whitney test.</w:t>
      </w:r>
    </w:p>
    <w:p>
      <w:pPr>
        <w:spacing w:line="276" w:lineRule="auto" w:after="80"/>
        <w:ind w:firstLine="0"/>
      </w:pPr>
      <w:r>
        <w:rPr>
          <w:rFonts w:ascii="Arial" w:hAnsi="Arial"/>
          <w:b w:val="0"/>
          <w:i w:val="0"/>
          <w:color w:val="000000"/>
          <w:sz w:val="22"/>
        </w:rPr>
        <w:t>Figure 3. Correlation structure between CKI and standard metrics. (a)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(b) ROC curves for cell-type classification across five metrics on Tabula Sapiens data.</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adjacent non-tumor specimens differ more from each other than tumors differ from each other at bulk resolution (exploratory; TCGA normal samples are adjacent non-tumor tissues, not healthy donor tissue; pending single-cell or deconvolution-based validation). (b) ω distributions for normal-normal (NN) vs. tumor-tumor (TT) comparisons per cancer type.</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(equal-n estimate 1.74-fold, 95% CI [1.64, 1.84]).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(d) Observed vs. expected ω for the five strongest Strong candidates across all cell classes (lowest residuals), showing the gap between observed regional similarity and the cell-type-specific expectation.</w:t>
      </w:r>
    </w:p>
    <w:p>
      <w:pPr>
        <w:spacing w:line="276" w:lineRule="auto" w:after="80"/>
        <w:ind w:firstLine="0"/>
      </w:pPr>
      <w:r>
        <w:rPr>
          <w:rFonts w:ascii="Arial" w:hAnsi="Arial"/>
          <w:b w:val="0"/>
          <w:i w:val="0"/>
          <w:color w:val="000000"/>
          <w:sz w:val="22"/>
        </w:rPr>
        <w:t>Supplementary Fig. 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Supplementary Fig. 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pPr>
        <w:spacing w:line="276" w:lineRule="auto" w:after="80"/>
        <w:ind w:firstLine="0"/>
      </w:pPr>
      <w:r>
        <w:rPr>
          <w:rFonts w:ascii="Arial" w:hAnsi="Arial"/>
          <w:b w:val="0"/>
          <w:i w:val="0"/>
          <w:color w:val="000000"/>
          <w:sz w:val="22"/>
        </w:rPr>
        <w:t>Supplementary Fig. 3.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pPr>
        <w:spacing w:line="276" w:lineRule="auto" w:after="80"/>
        <w:ind w:firstLine="0"/>
      </w:pPr>
      <w:r>
        <w:rPr>
          <w:rFonts w:ascii="Arial" w:hAnsi="Arial"/>
          <w:b w:val="0"/>
          <w:i w:val="0"/>
          <w:color w:val="000000"/>
          <w:sz w:val="22"/>
        </w:rPr>
        <w:t>Supplementary Fig. 4.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Supplementary Fig. 5. Cross-organ conservation raw data. Blue = well-sampled (n ≥ 5 pairs); gray = sparsely sampled (n &lt; 5 pairs). panel a shows mean ± SD; panel b shows raw pair-level distribution.</w:t>
      </w:r>
    </w:p>
    <w:p>
      <w:pPr>
        <w:spacing w:line="276" w:lineRule="auto" w:after="80"/>
        <w:ind w:firstLine="0"/>
      </w:pPr>
      <w:r>
        <w:rPr>
          <w:rFonts w:ascii="Arial" w:hAnsi="Arial"/>
          <w:b w:val="0"/>
          <w:i w:val="0"/>
          <w:color w:val="000000"/>
          <w:sz w:val="22"/>
        </w:rPr>
        <w:t>Supplementary Fig. 6. Brain regional analysis details. (a) Mean regional divergence (ω, with SD) per cell type, ranked ascending; red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pPr>
        <w:spacing w:line="276" w:lineRule="auto" w:after="80"/>
        <w:ind w:firstLine="0"/>
      </w:pPr>
      <w:r>
        <w:rPr>
          <w:rFonts w:ascii="Arial" w:hAnsi="Arial"/>
          <w:b w:val="0"/>
          <w:i w:val="0"/>
          <w:color w:val="000000"/>
          <w:sz w:val="22"/>
        </w:rPr>
        <w:t>Supplementary Fig. 7.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pPr>
        <w:spacing w:line="276" w:lineRule="auto" w:after="80"/>
        <w:ind w:firstLine="0"/>
      </w:pPr>
      <w:r>
        <w:rPr>
          <w:rFonts w:ascii="Arial" w:hAnsi="Arial"/>
          <w:b w:val="0"/>
          <w:i w:val="0"/>
          <w:color w:val="000000"/>
          <w:sz w:val="22"/>
        </w:rPr>
        <w:t>Supplementary Fig. 8. Developmental signature detection.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pPr>
        <w:spacing w:line="276" w:lineRule="auto" w:after="80"/>
        <w:ind w:firstLine="0"/>
      </w:pPr>
      <w:r>
        <w:rPr>
          <w:rFonts w:ascii="Arial" w:hAnsi="Arial"/>
          <w:b w:val="0"/>
          <w:i w:val="0"/>
          <w:color w:val="000000"/>
          <w:sz w:val="22"/>
        </w:rPr>
        <w:t>Supplementary Fig. 9.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Supplementary Fig. 10.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pPr>
        <w:spacing w:line="276" w:lineRule="auto" w:after="80"/>
        <w:ind w:firstLine="0"/>
      </w:pPr>
      <w:r>
        <w:rPr>
          <w:rFonts w:ascii="Arial" w:hAnsi="Arial"/>
          <w:b w:val="0"/>
          <w:i w:val="0"/>
          <w:color w:val="000000"/>
          <w:sz w:val="22"/>
        </w:rPr>
        <w:t>Supplementary Fig. 11. Cross-species comparison details. (a) Cross-species ω comparison: scatter plot of human vs. mouse per-cell-type mean ω for the 15 shared cell types (Spearman r = −0.17, P = 0.55; no significant correlation).</w:t>
      </w:r>
    </w:p>
    <w:p>
      <w:pPr>
        <w:spacing w:line="276" w:lineRule="auto" w:after="80"/>
        <w:ind w:firstLine="0"/>
      </w:pPr>
      <w:r>
        <w:rPr>
          <w:rFonts w:ascii="Arial" w:hAnsi="Arial"/>
          <w:b w:val="0"/>
          <w:i w:val="0"/>
          <w:color w:val="000000"/>
          <w:sz w:val="22"/>
        </w:rPr>
        <w:t>Supplementary Fig. 12.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pPr>
        <w:spacing w:line="276" w:lineRule="auto" w:after="80"/>
        <w:ind w:firstLine="0"/>
      </w:pPr>
      <w:r>
        <w:rPr>
          <w:rFonts w:ascii="Arial" w:hAnsi="Arial"/>
          <w:b w:val="0"/>
          <w:i w:val="0"/>
          <w:color w:val="000000"/>
          <w:sz w:val="22"/>
        </w:rPr>
        <w:t>Supplementary Fig. 13.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