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pPr>
      <w:r>
        <w:t>Dear Editors,</w:t>
      </w:r>
    </w:p>
    <w:p>
      <w:pPr>
        <w:spacing w:line="240" w:lineRule="auto" w:after="80" w:before="0"/>
      </w:pPr>
      <w:r>
        <w:t>On behalf of my co-author, Dr. Xianming Wu (Chinese Institute for Brain Research, Beijing), I am pleased to submit our manuscript, “CKI is a Ka/Ks-inspired index quantifying functional divergence in single-cell genomics”, for consideration as an Article in Nature Communications. CKI (Cell-type Ka/Ks-inspired Index) is a novel computational method for quantifying functional divergence in single-cell genomics: it decomposes Jensen–Shannon divergence into k_n (baseline divergence over housekeeping genes) and k_f (identity-gene divergence), with ω = k_f/k_n. The work fits Nature Communications’ tradition of single-cell computational methods validated through ground-truth simulation and large-scale real data.</w:t>
      </w:r>
    </w:p>
    <w:p>
      <w:pPr>
        <w:spacing w:line="240" w:lineRule="auto" w:after="80" w:before="0"/>
      </w:pPr>
      <w:r>
        <w:t>Our headline result is a specificity-first ground-truth simulation: injecting module shifts into real single-cell backgrounds (Tabula Muris marrow B cells; 1,750 replicates, replicated in a second background), ω was the only one of six metrics that did not false-trigger on neutral housekeeping-gene drift (false-positive rate 0.00 versus 0.55 for JS divergence and 0.58 for cosine distance) and ranked first for discrimination (AUC = 0.80). Bounded sensitivity is reported with equal prominence (marrow requires ≥4-fold shifts on ≥200 genes; skin reaches 91% detection at 2-fold), with split-half calibration setting the interpretation baseline (ω = 7.70, 95% CI [7.37, 8.02]). Beyond the simulation, CKI was validated across four datasets: 4,851 human cell-type pairs (Tabula Sapiens, complemented by mouse Tabula Muris analyses); pan-cancer bulk RNA-seq across five TCGA cancer types; 31,764 cross-region pairs from the Siletti brain atlas (888,263 nuclei); and a fixed gene-panel ablation showing preserved pair-level rankings under non-circular gene selection (Spearman ρ ≈ 0.92, block-shuffle null throughout).</w:t>
      </w:r>
    </w:p>
    <w:p>
      <w:pPr>
        <w:spacing w:line="240" w:lineRule="auto" w:after="80" w:before="0"/>
      </w:pPr>
      <w:r>
        <w:t>We are explicit about what the manuscript does and does not claim: the 6.10-fold class-level brain gradient is predominantly a k_n denominator effect (3.2-fold k_n versus 2.0-fold k_f), and no per-pair candidate survives false-discovery-rate correction (minimum q = 0.520); biological observations, including the exploratory TCGA signal, are hypothesis-generating. Diagnostically, CKI’s negative correlation with standard metrics is shown to be a ratio artifact of the k_n denominator, and the k_n/k_f decomposition provides a transparent self-audit of what a baseline-normalized index adds to existing distance measures.</w:t>
      </w:r>
    </w:p>
    <w:p>
      <w:pPr>
        <w:spacing w:line="240" w:lineRule="auto" w:after="80" w:before="0"/>
      </w:pPr>
      <w:r>
        <w:t>Both authors have approved the manuscript and declare no competing interests. This work has not been published elsewhere, is not under consideration by any other journal, and has not previously been submitted to Nature Communications. AI tools (large language model-based assistants) were used for computational debugging, statistical code review, and language editing; all AI-assisted content was reviewed and revised by the authors, who take full responsibility. This work was supported by the National Natural Science Foundation of China (grant 32370682). The CKI Python package (release tag v0.5.0, MIT License) and all analysis code are publicly available at https://github.com/zhanglknt/CKI-cell-type-identification (Zenodo DOI 10.5281/zenodo.22735744).</w:t>
      </w:r>
    </w:p>
    <w:p>
      <w:pPr>
        <w:spacing w:line="240" w:lineRule="auto" w:after="80" w:before="0"/>
      </w:pPr>
      <w:r>
        <w:t>We suggest the following reviewers, none with recent collaborations or conflicts of interest with the authors: Prof. Fabian Theis, Helmholtz Munich (fabian.theis@helmholtz-munich.de); Prof. Joshua Welch, University of Michigan (welchjd@umich.edu); Prof. Sten Linnarsson, Karolinska Institutet (sten.linnarsson@ki.se); Prof. Patrik Ståhl, KTH / SciLifeLab (patrik.stahl@scilifelab.se); Dr. Alejandro A. Schäffer, National Cancer Institute, NIH (schaffer@ncbi.nlm.nih.gov); and Prof. Zemin Zhang, Peking University (zeminzhang@pku.edu.cn).</w:t>
      </w:r>
    </w:p>
    <w:p>
      <w:pPr>
        <w:spacing w:line="240" w:lineRule="auto" w:after="80" w:before="0"/>
      </w:pPr>
      <w:r>
        <w:t>Thank you for considering our work.</w:t>
      </w:r>
    </w:p>
    <w:p>
      <w:pPr>
        <w:spacing w:line="240" w:lineRule="auto" w:after="240" w:before="0"/>
      </w:pPr>
      <w:r>
        <w:t>Sincerely,</w:t>
      </w:r>
    </w:p>
    <w:p>
      <w:pPr>
        <w:spacing w:line="240" w:lineRule="auto" w:after="0" w:before="0"/>
      </w:pPr>
      <w:r>
        <w:t>Li Zhang (Corresponding Author)</w:t>
      </w:r>
    </w:p>
    <w:p>
      <w:pPr>
        <w:spacing w:line="240"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