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b/>
          <w:color w:val="000000"/>
          <w:sz w:val="32"/>
        </w:rPr>
        <w:t>CKI is a Ka/Ks-inspired index quantifying functional divergence in single-cell genomics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102206,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610052,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Inspired by the Ka/Ks ratio, CKI (Cell-type Ka/Ks-inspired Index) decomposes transcriptomic divergence into a baseline rate k_n (housekeeping genes) and a functional rate k_f (identity genes); ω = k_f/k_n quantifies baseline-normalized functional divergence. In ground-truth simulation, ω rejected neutral housekeeping drift (false-positive rate 0.00 versus 0.55–0.58 for raw JS and cosine) and ranked first for functional-versus-neutral discrimination (AUC = 0.80). On real technical replicates—30 cross-lane pairs from Kang IFN-β—ω raised no false reports; under stronger brain library-level drift (2,161 pairs), it had the lowest false-report rate among continuous divergence metrics (28.6% versus 45.2% for raw JS), though this specificity decays with group size. In 3,567 TCGA samples across five cancer types, ω revealed a consistent pan-cancer reversal—tumor specimens less divergent than adjacent non-tumor tissue (ratio 1.10–2.46, CI excluding 1 in four of five cancers)—driven by a 1.3–3.3-fold elevated housekeeping baseline, not reduced functional divergence; in lung adenocarcinoma, KRAS-mutant tumors showed elevated tissue-level divergence whose functional (k_f) and baseline (k_n) components both survived adjustment for tumor purity and smoking, whereas the apparent EGFR-mutant association was attributable to stromal/immune admixture. Brain analysis revealed a 6.10-fold regional gradient (size-balanced estimate 1.74 [1.64, 1.84]). CKI is freely available as an open-source Python package.</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 xml:space="preserve">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w:t>
      </w:r>
      <w:r>
        <w:rPr>
          <w:rFonts w:ascii="Arial" w:hAnsi="Arial"/>
          <w:b w:val="0"/>
          <w:i w:val="0"/>
          <w:color w:val="000000"/>
          <w:sz w:val="22"/>
          <w:vertAlign w:val="superscript"/>
        </w:rPr>
        <w:t>1</w:t>
      </w:r>
      <w:r>
        <w:rPr>
          <w:rFonts w:ascii="Arial" w:hAnsi="Arial"/>
          <w:b w:val="0"/>
          <w:i w:val="0"/>
          <w:color w:val="000000"/>
          <w:sz w:val="22"/>
        </w:rPr>
        <w:t xml:space="preserve">, where donor- and batch-level variation often dominates over cell-type identity. Methods such as Harmony </w:t>
      </w:r>
      <w:r>
        <w:rPr>
          <w:rFonts w:ascii="Arial" w:hAnsi="Arial"/>
          <w:b w:val="0"/>
          <w:i w:val="0"/>
          <w:color w:val="000000"/>
          <w:sz w:val="22"/>
          <w:vertAlign w:val="superscript"/>
        </w:rPr>
        <w:t>2</w:t>
      </w:r>
      <w:r>
        <w:rPr>
          <w:rFonts w:ascii="Arial" w:hAnsi="Arial"/>
          <w:b w:val="0"/>
          <w:i w:val="0"/>
          <w:color w:val="000000"/>
          <w:sz w:val="22"/>
        </w:rPr>
        <w:t xml:space="preserve">, scVI </w:t>
      </w:r>
      <w:r>
        <w:rPr>
          <w:rFonts w:ascii="Arial" w:hAnsi="Arial"/>
          <w:b w:val="0"/>
          <w:i w:val="0"/>
          <w:color w:val="000000"/>
          <w:sz w:val="22"/>
          <w:vertAlign w:val="superscript"/>
        </w:rPr>
        <w:t>3</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remove such nuisance variation </w:t>
      </w:r>
      <w:r>
        <w:rPr>
          <w:rFonts w:ascii="Arial" w:hAnsi="Arial"/>
          <w:b w:val="0"/>
          <w:i w:val="0"/>
          <w:color w:val="000000"/>
          <w:sz w:val="22"/>
          <w:vertAlign w:val="superscript"/>
        </w:rPr>
        <w:t>5</w:t>
      </w:r>
      <w:r>
        <w:rPr>
          <w:rFonts w:ascii="Arial" w:hAnsi="Arial"/>
          <w:b w:val="0"/>
          <w:i w:val="0"/>
          <w:color w:val="000000"/>
          <w:sz w:val="22"/>
        </w:rPr>
        <w:t>, but a key question remains: how much of the difference between two populations reflects functional adaptation rather than neutral drift?</w:t>
      </w:r>
    </w:p>
    <w:p>
      <w:pPr>
        <w:spacing w:line="276" w:lineRule="auto" w:after="80"/>
        <w:ind w:firstLine="0"/>
      </w:pPr>
      <w:r>
        <w:rPr>
          <w:rFonts w:ascii="Arial" w:hAnsi="Arial"/>
          <w:b w:val="0"/>
          <w:i w:val="0"/>
          <w:color w:val="000000"/>
          <w:sz w:val="22"/>
        </w:rPr>
        <w:t xml:space="preserve">This question mirrors one addressed in molecular evolution. The Ka/Ks ratio (dN/dS) distinguishes nonsynonymous changes (Ka, which alter the protein) from synonymous changes (Ks, largely silent) </w:t>
      </w:r>
      <w:r>
        <w:rPr>
          <w:rFonts w:ascii="Arial" w:hAnsi="Arial"/>
          <w:b w:val="0"/>
          <w:i w:val="0"/>
          <w:color w:val="000000"/>
          <w:sz w:val="22"/>
          <w:vertAlign w:val="superscript"/>
        </w:rPr>
        <w:t>6,7</w:t>
      </w:r>
      <w:r>
        <w:rPr>
          <w:rFonts w:ascii="Arial" w:hAnsi="Arial"/>
          <w:b w:val="0"/>
          <w:i w:val="0"/>
          <w:color w:val="000000"/>
          <w:sz w:val="22"/>
        </w:rPr>
        <w:t>,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Supplementary Note 1)—inflating the denominator and deflating the ratio. In such regimes ω must be read alongside its components, and k_f with a design-matched null is the honest default for ordering claims (Results; limitations are addressed in the Discussion).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 xml:space="preserve">Here, we show that CKI provides a baseline-normalized index of cell-state divergence across five scales. First, we calibrated CKI on Tabula Muris mouse data </w:t>
      </w:r>
      <w:r>
        <w:rPr>
          <w:rFonts w:ascii="Arial" w:hAnsi="Arial"/>
          <w:b w:val="0"/>
          <w:i w:val="0"/>
          <w:color w:val="000000"/>
          <w:sz w:val="22"/>
          <w:vertAlign w:val="superscript"/>
        </w:rPr>
        <w:t>8</w:t>
      </w:r>
      <w:r>
        <w:rPr>
          <w:rFonts w:ascii="Arial" w:hAnsi="Arial"/>
          <w:b w:val="0"/>
          <w:i w:val="0"/>
          <w:color w:val="000000"/>
          <w:sz w:val="22"/>
        </w:rPr>
        <w:t xml:space="preserve">: random splits of the same cell population yield ω above 1 (empirical calibration baseline 7.70, 95% CI [7.37, 8.02]). Second, in Tabula Sapiens human data </w:t>
      </w:r>
      <w:r>
        <w:rPr>
          <w:rFonts w:ascii="Arial" w:hAnsi="Arial"/>
          <w:b w:val="0"/>
          <w:i w:val="0"/>
          <w:color w:val="000000"/>
          <w:sz w:val="22"/>
          <w:vertAlign w:val="superscript"/>
        </w:rPr>
        <w:t>9</w:t>
      </w:r>
      <w:r>
        <w:rPr>
          <w:rFonts w:ascii="Arial" w:hAnsi="Arial"/>
          <w:b w:val="0"/>
          <w:i w:val="0"/>
          <w:color w:val="000000"/>
          <w:sz w:val="22"/>
        </w:rPr>
        <w:t xml:space="preserve">,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on real technical replicates—30 same-donor cross-lane pairs in an IFN-β PBMC cohort and 2,161 same-donor, same-region library pairs in the brain atlas—ω showed the lowest drift misreporting among continuous divergence metrics while retaining sensitivity to genuine biology (Results). Fourth, applied to TCGA cancer data </w:t>
      </w:r>
      <w:r>
        <w:rPr>
          <w:rFonts w:ascii="Arial" w:hAnsi="Arial"/>
          <w:b w:val="0"/>
          <w:i w:val="0"/>
          <w:color w:val="000000"/>
          <w:sz w:val="22"/>
          <w:vertAlign w:val="superscript"/>
        </w:rPr>
        <w:t>10,11</w:t>
      </w:r>
      <w:r>
        <w:rPr>
          <w:rFonts w:ascii="Arial" w:hAnsi="Arial"/>
          <w:b w:val="0"/>
          <w:i w:val="0"/>
          <w:color w:val="000000"/>
          <w:sz w:val="22"/>
        </w:rPr>
        <w:t xml:space="preserve">, CKI mapped tissue-level functional divergence across five cancer types and 3,567 samples, uncovering a consistent pan-cancer reversal—tumor specimens less divergent than adjacent non-tumor tissue, attributable to an elevated housekeeping baseline—and resolving driver-class differences in lung adenocarcinoma, where KRAS-mutant tumors retained both functional (k_f) and baseline (k_n) divergence after purity and smoking adjustment, whereas the apparent EGFR association dissolved under purity adjustment (Results). Fifth, in a human brain single-nucleus atlas </w:t>
      </w:r>
      <w:r>
        <w:rPr>
          <w:rFonts w:ascii="Arial" w:hAnsi="Arial"/>
          <w:b w:val="0"/>
          <w:i w:val="0"/>
          <w:color w:val="000000"/>
          <w:sz w:val="22"/>
          <w:vertAlign w:val="superscript"/>
        </w:rPr>
        <w:t>12</w:t>
      </w:r>
      <w:r>
        <w:rPr>
          <w:rFonts w:ascii="Arial" w:hAnsi="Arial"/>
          <w:b w:val="0"/>
          <w:i w:val="0"/>
          <w:color w:val="000000"/>
          <w:sz w:val="22"/>
        </w:rPr>
        <w:t>, we measured how non-neuronal cell classes differ across brain regions, quantifying a 6.10-fold regional differentiation gradient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 xml:space="preserve">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w:t>
      </w:r>
      <w:r>
        <w:rPr>
          <w:rFonts w:ascii="Arial" w:hAnsi="Arial"/>
          <w:b w:val="0"/>
          <w:i w:val="0"/>
          <w:color w:val="000000"/>
          <w:sz w:val="22"/>
          <w:vertAlign w:val="superscript"/>
        </w:rPr>
        <w:t>13</w:t>
      </w:r>
      <w:r>
        <w:rPr>
          <w:rFonts w:ascii="Arial" w:hAnsi="Arial"/>
          <w:b w:val="0"/>
          <w:i w:val="0"/>
          <w:color w:val="000000"/>
          <w:sz w:val="22"/>
        </w:rPr>
        <w:t>,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Supplementary Fig. 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Supplementary Fig. 1; Supplementary Table 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 xml:space="preserve">We calibrated CKI on the Tabula Muris FACS dataset </w:t>
      </w:r>
      <w:r>
        <w:rPr>
          <w:rFonts w:ascii="Arial" w:hAnsi="Arial"/>
          <w:b w:val="0"/>
          <w:i w:val="0"/>
          <w:color w:val="000000"/>
          <w:sz w:val="22"/>
          <w:vertAlign w:val="superscript"/>
        </w:rPr>
        <w:t>8</w:t>
      </w:r>
      <w:r>
        <w:rPr>
          <w:rFonts w:ascii="Arial" w:hAnsi="Arial"/>
          <w:b w:val="0"/>
          <w:i w:val="0"/>
          <w:color w:val="000000"/>
          <w:sz w:val="22"/>
        </w:rPr>
        <w:t xml:space="preserve"> (SmartSeq2, 15,057 cells, 22,308 genes, 6 organs). Housekeeping genes were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(mouse ortholog column). For the full pairwise matrix (703 pairs, Supplementary Fig. 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Supplementary Note 2),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(Supplementary Note 3).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(Supplementary Note 4). We recommend per-class calibration for within-dataset class contrasts; calibrated values accompany raw ω in all key results (Supplementary Fig. 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 xml:space="preserve">We extended CKI to the Tabula Sapiens human atlas </w:t>
      </w:r>
      <w:r>
        <w:rPr>
          <w:rFonts w:ascii="Arial" w:hAnsi="Arial"/>
          <w:b w:val="0"/>
          <w:i w:val="0"/>
          <w:color w:val="000000"/>
          <w:sz w:val="22"/>
          <w:vertAlign w:val="superscript"/>
        </w:rPr>
        <w:t>9</w:t>
      </w:r>
      <w:r>
        <w:rPr>
          <w:rFonts w:ascii="Arial" w:hAnsi="Arial"/>
          <w:b w:val="0"/>
          <w:i w:val="0"/>
          <w:color w:val="000000"/>
          <w:sz w:val="22"/>
        </w:rPr>
        <w:t xml:space="preserve"> (108,136 cells; 102 cell-type entries, 99 of which passed the pairwise-analysis filters and contributed 4,851 pairs across six organs). We used the same hybrid scheme as the mouse pilot, with HK genes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(human column) (Fig. 3).</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line="276" w:lineRule="auto" w:after="80"/>
        <w:ind w:firstLine="0"/>
      </w:pPr>
      <w:r>
        <w:rPr>
          <w:rFonts w:ascii="Arial" w:hAnsi="Arial"/>
          <w:b w:val="0"/>
          <w:i w:val="0"/>
          <w:color w:val="000000"/>
          <w:sz w:val="22"/>
        </w:rPr>
        <w:t>CKI showed moderate cell-type classification performance (AUC = 0.680, ranked 5th of 5 methods; Table 1). The pair-level bootstrap 95% CI ([0.609, 0.745], B = 2,000) widens to [0.540, 0.804] under cell-type-entry clustering: the classification advantage is weak and resampling-unit dependent. The lower ranking is expected by design: CKI down-weights shared HK patterns to isolate functional divergence, trading global-identity sensitivity for identity-gene divergence. Critically, CKI was the only metric where same-organ different-cell-type pairs had higher values than different-organ different-cell-type pairs (mean ω 24.87, n = 1,038 vs. 20.80, n = 3,754; 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specificity versus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(Supplementary Note 1).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(Supplementary Note 5).</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(Supplementary Note 1).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Real-data neutral-drift calibration on technical replicates</w:t>
      </w:r>
    </w:p>
    <w:p>
      <w:pPr>
        <w:spacing w:line="276" w:lineRule="auto" w:after="80"/>
        <w:ind w:firstLine="0"/>
      </w:pPr>
      <w:r>
        <w:rPr>
          <w:rFonts w:ascii="Arial" w:hAnsi="Arial"/>
          <w:b w:val="0"/>
          <w:i w:val="0"/>
          <w:color w:val="000000"/>
          <w:sz w:val="22"/>
        </w:rPr>
        <w:t xml:space="preserve">The simulation’s neutral-drift benchmark concerns synthetic drift; we therefore tested the same specificity property on real technical replicates with a ground truth of no functional difference, using a per-pair size-matched (n-matched) cell-shuffle null: the nuclei of the two libraries being compared are pooled, permuted, and re-split into disjoint subsets of exactly the observed group sizes, so each pair is calibrated against its own sampling-noise distribution (B = 200 per pair; Methods). In the first batch of the IFN-β PBMC dataset </w:t>
      </w:r>
      <w:r>
        <w:rPr>
          <w:rFonts w:ascii="Arial" w:hAnsi="Arial"/>
          <w:b w:val="0"/>
          <w:i w:val="0"/>
          <w:color w:val="000000"/>
          <w:sz w:val="22"/>
          <w:vertAlign w:val="superscript"/>
        </w:rPr>
        <w:t>14</w:t>
      </w:r>
      <w:r>
        <w:rPr>
          <w:rFonts w:ascii="Arial" w:hAnsi="Arial"/>
          <w:b w:val="0"/>
          <w:i w:val="0"/>
          <w:color w:val="000000"/>
          <w:sz w:val="22"/>
        </w:rPr>
        <w:t>—eight unstimulated donors captured across three 10x lanes such that every donor appears in exactly two lanes—the resulting 30 same-donor, same-condition cross-lane pairs provide clean technical replicates. Here ω was fully calibrated: no pair exceeded its own null 95th percentile (0 of 30, Wilson 95% CI [0.000, 0.114]; k_f alone was likewise 0 of 30—on this dataset ω adds no increment over its numerator), with a median calibration ratio (observed / null median) of 0.963 (IQR [0.918, 0.998]), whereas raw JS misreported 36.7% of the pairs (11 of 30, CI [0.219, 0.545]) and cosine distance 23.3% (7 of 30, CI [0.118, 0.409]) as divergence (Fig. 4d).</w:t>
      </w:r>
    </w:p>
    <w:p>
      <w:pPr>
        <w:spacing w:line="276" w:lineRule="auto" w:after="80"/>
        <w:ind w:firstLine="0"/>
      </w:pPr>
      <w:r>
        <w:rPr>
          <w:rFonts w:ascii="Arial" w:hAnsi="Arial"/>
          <w:b w:val="0"/>
          <w:i w:val="0"/>
          <w:color w:val="000000"/>
          <w:sz w:val="22"/>
        </w:rPr>
        <w:t xml:space="preserve">The same design scales to the brain atlas, where 606 10x libraries are nested within (donor, region) combinations, yielding a four-tier drift ladder of library-level pairs within each cell type: same-library splits are embedded in the per-pair null; T1 pairs two libraries of the same donor, region, and cell type (pure technical drift; 2,161 pairs); T2 crosses donors within a region (technical plus inter-individual drift; 1,089 pairs); T3 crosses regions within a donor (regional biology; positive control; 1,656 pairs) </w:t>
      </w:r>
      <w:r>
        <w:rPr>
          <w:rFonts w:ascii="Arial" w:hAnsi="Arial"/>
          <w:b w:val="0"/>
          <w:i w:val="0"/>
          <w:color w:val="000000"/>
          <w:sz w:val="22"/>
          <w:vertAlign w:val="superscript"/>
        </w:rPr>
        <w:t>12</w:t>
      </w:r>
      <w:r>
        <w:rPr>
          <w:rFonts w:ascii="Arial" w:hAnsi="Arial"/>
          <w:b w:val="0"/>
          <w:i w:val="0"/>
          <w:color w:val="000000"/>
          <w:sz w:val="22"/>
        </w:rPr>
        <w:t>. On T1, ω had the lowest misreporting rate among the four continuous divergence metrics (FPR 28.6%, CI [26.8, 30.6], versus 45.2% for raw JS, 44.1% for cosine, 40.6% for Spearman distance, 37.6% for k_f alone, and 35.7% for the baseline component k_n; Fig. 4b, c), and ω was below raw JS in 10 of 10 cell classes (below cosine in 9 of 10, below Spearman in 8 of 10; per-class raw-JS-to-ω FPR ratios 1.2–2.3). Marker Jaccard distance was lower still (T1 FPR 19.9%, below ω in all ten cell classes; T2 74.7% versus 90.9% for ω): judged on the false-positive statistic alone, it separates the tiers at least as well as ω (T3−T1 FPR gap 0.60 versus 0.56; T3/T1 ratio 4.0 versus 3.0), so the misreporting claim for ω is restricted to the continuous divergence metrics. Its advantage over marker Jaccard lies elsewhere: Jaccard responded weakest to genuine regional divergence (T3 calibration ratio 1.41 versus 1.80 for ω and 2.98 for raw JS) and, as a single set-overlap statistic, offers no k_n/k_f decomposition—the component split that localizes the TCGA reversal and the LUAD driver contrast (below)—so ω occupies the better trade-off between drift specificity, sensitivity to biology, and interpretability. At T2 the picture is not immunity but relative calibration: all metrics fire on most pairs (donor differences contain real biology), and ω again misreported least among the continuous divergence metrics (90.9% versus 98.4–98.7% for raw JS and k_f; calibration ratio 1.76 versus 3.32 and 3.22). At T3, every metric rose (ω calibration 1.80; raw JS 2.98), confirming that ω retains sensitivity to regional biology—across the ladder the ω calibration gradient is the shallowest of all metrics (1.04 → 1.76 → 1.80, versus 1.07 → 3.32 → 2.98 for raw JS), so ω best separates technical drift from biology in relative terms, not absolutely.</w:t>
      </w:r>
    </w:p>
    <w:p>
      <w:pPr>
        <w:spacing w:line="276" w:lineRule="auto" w:after="80"/>
        <w:ind w:firstLine="0"/>
      </w:pPr>
      <w:r>
        <w:rPr>
          <w:rFonts w:ascii="Arial" w:hAnsi="Arial"/>
          <w:b w:val="0"/>
          <w:i w:val="0"/>
          <w:color w:val="000000"/>
          <w:sz w:val="22"/>
        </w:rPr>
        <w:t>Two honest qualifications temper the brain result. First, the absolute ω FPR is not zero, and it grows with group size—from 14.1% for pairs with at most 30 nuclei per library to 48.0% for pairs exceeding 500 (raw JS from 28.6% to 72.5%)—indicating a real library-level technical component (capture efficiency, depth) that grows detectable with power and that the k_n denominator absorbs only partially: on T1 the k_n calibration itself sits at 1.05, so the housekeeping anchor removes most but not all of the drift. The Kang cross-lane replicates, with at least 50 cells per group, sit toward the small end of this size range, where misreporting is lowest—the 0-of-30 Kang outcome and the 28.6% brain T1 rate are therefore consistent under the size-dependence of the technical component. Second, a minority of cell classes show gene-specific library effects that the anchor cannot absorb: choroid plexus (9 pairs, median calibration 2.31) and Bergmann glia (27 pairs, 1.16) exceed the null most strongly—in choroid plexus, two libraries of the same donor, region, and type differ in k_f by up to 137-fold. The ladder thereby also quantifies the library-level structure that the block-shuffle null retains by design (Methods): the Bergmann-glia block-shuffle null mean (21.9) lying far above its split-half baseline (9.7) reflects precisely this within-donor, within-region technical divergence. The simulation-level claim of absolute neutral-drift immunity thus transfers to real data only as a relative-calibration advantage—lowest misreporting among the continuous divergence metrics (raw JS, cosine, Spearman, k_f) at every tier, with sensitivity to genuine regional divergence preserved (Fig. 4; audit trails in the companion repository; Section 3.12 of the Supplementary Information).</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 xml:space="preserve">How ω behaves on a real perturbation whose effect on the housekeeping anchor is unknown was tested on peripheral blood mononuclear cells from eight donors, control versus 6-hour IFN-β stimulation </w:t>
      </w:r>
      <w:r>
        <w:rPr>
          <w:rFonts w:ascii="Arial" w:hAnsi="Arial"/>
          <w:b w:val="0"/>
          <w:i w:val="0"/>
          <w:color w:val="000000"/>
          <w:sz w:val="22"/>
          <w:vertAlign w:val="superscript"/>
        </w:rPr>
        <w:t>14</w:t>
      </w:r>
      <w:r>
        <w:rPr>
          <w:rFonts w:ascii="Arial" w:hAnsi="Arial"/>
          <w:b w:val="0"/>
          <w:i w:val="0"/>
          <w:color w:val="000000"/>
          <w:sz w:val="22"/>
        </w:rPr>
        <w:t xml:space="preserve">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(Supplementary Fig. 3; Supplementary Note 6).</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 xml:space="preserve">We benchmarked CKI against MELD (v1.0.2) and scDist on the Kang IFN-β dataset </w:t>
      </w:r>
      <w:r>
        <w:rPr>
          <w:rFonts w:ascii="Arial" w:hAnsi="Arial"/>
          <w:b w:val="0"/>
          <w:i w:val="0"/>
          <w:color w:val="000000"/>
          <w:sz w:val="22"/>
          <w:vertAlign w:val="superscript"/>
        </w:rPr>
        <w:t>14</w:t>
      </w:r>
      <w:r>
        <w:rPr>
          <w:rFonts w:ascii="Arial" w:hAnsi="Arial"/>
          <w:b w:val="0"/>
          <w:i w:val="0"/>
          <w:color w:val="000000"/>
          <w:sz w:val="22"/>
        </w:rPr>
        <w:t xml:space="preserve">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 are addressed in the Discussion).</w:t>
      </w:r>
    </w:p>
    <w:p>
      <w:pPr>
        <w:pStyle w:val="Heading2"/>
        <w:spacing w:before="420" w:after="160"/>
      </w:pPr>
      <w:r>
        <w:rPr>
          <w:rFonts w:ascii="Arial" w:hAnsi="Arial"/>
          <w:color w:val="000000"/>
          <w:sz w:val="24"/>
          <w:b/>
        </w:rPr>
        <w:t>Fixed-panel ablation: robust rankings, scheme-specific ω</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(Supplementary Note 7).</w:t>
      </w:r>
    </w:p>
    <w:p>
      <w:pPr>
        <w:pStyle w:val="Heading2"/>
        <w:spacing w:before="420" w:after="160"/>
      </w:pPr>
      <w:r>
        <w:rPr>
          <w:rFonts w:ascii="Arial" w:hAnsi="Arial"/>
          <w:color w:val="000000"/>
          <w:sz w:val="24"/>
          <w:b/>
        </w:rPr>
        <w:t>A pan-cancer map of tissue-level divergence in tumors</w:t>
      </w:r>
    </w:p>
    <w:p>
      <w:pPr>
        <w:spacing w:line="276" w:lineRule="auto" w:after="80"/>
        <w:ind w:firstLine="0"/>
      </w:pPr>
      <w:r>
        <w:rPr>
          <w:rFonts w:ascii="Arial" w:hAnsi="Arial"/>
          <w:b w:val="0"/>
          <w:i w:val="0"/>
          <w:color w:val="000000"/>
          <w:sz w:val="22"/>
        </w:rPr>
        <w:t xml:space="preserve">We applied CKI to TCGA bulk RNA-seq data across five cancer types (LUAD, LUSC, LIHC, KIRC, BRCA) </w:t>
      </w:r>
      <w:r>
        <w:rPr>
          <w:rFonts w:ascii="Arial" w:hAnsi="Arial"/>
          <w:b w:val="0"/>
          <w:i w:val="0"/>
          <w:color w:val="000000"/>
          <w:sz w:val="22"/>
          <w:vertAlign w:val="superscript"/>
        </w:rPr>
        <w:t>10,11</w:t>
      </w:r>
      <w:r>
        <w:rPr>
          <w:rFonts w:ascii="Arial" w:hAnsi="Arial"/>
          <w:b w:val="0"/>
          <w:i w:val="0"/>
          <w:color w:val="000000"/>
          <w:sz w:val="22"/>
        </w:rPr>
        <w:t>, totalling 3,567 samples, and asked how tissue-level functional divergence is reorganized when cancer develops. Because bulk RNA-seq averages over tumor, stromal, and immune compartments, ω here quantifies divergence between tissue states rather than between cell types; we therefore compare tumor–tumor (TT), normal–normal (NN), and tumor–normal (TN) pairs within each cancer type (Fig. 5; Supplementary Fig. 4). A consistent pan-cancer reversal emerged: in all five cancer types, NN pairs were more divergent than TT pairs—the ratio of mean NN to mean TT ω ranked LUAD 2.46 (95% CI 2.13–2.86; sample-level cluster bootstrap, B = 1,000), KIRC 1.88 (1.63–2.16), LUSC 1.71 (1.38–2.09), BRCA 1.57 (1.34–1.84), and LIHC 1.10 (0.93–1.29)—with the bootstrap CI excluding 1 in four of five cancers (LIHC CI including 1, direction consistent in all five; pair-level Mann-Whitney P-values, which ignore dyadic dependence between pairs, are reported as descriptive only in Section 3.13 of the Supplementary Information). Component decomposition identified the mechanism: in every cancer type the housekeeping baseline was elevated in tumors—TT k_n exceeded NN k_n by 1.3–3.3-fold (mean ratios; 95% CIs excluding 1 in all five cancers, e.g. KIRC 3.29 [2.54, 4.35], LIHC 1.35 [1.02, 1.88])—whereas TT k_f was equal to or higher than NN k_f (e.g. LUAD 0.282 versus 0.226). The reversal therefore reflects a more stable housekeeping baseline among adjacent non-tumor specimens, not smaller functional-gene divergence of tumor cells (Fig. 5a).</w:t>
      </w:r>
    </w:p>
    <w:p>
      <w:pPr>
        <w:spacing w:line="276" w:lineRule="auto" w:after="80"/>
        <w:ind w:firstLine="0"/>
      </w:pPr>
      <w:r>
        <w:rPr>
          <w:rFonts w:ascii="Arial" w:hAnsi="Arial"/>
          <w:b w:val="0"/>
          <w:i w:val="0"/>
          <w:color w:val="000000"/>
          <w:sz w:val="22"/>
        </w:rPr>
        <w:t>To ask whether the ratio resolves biologically distinct tumor states, we stratified LUAD tumors by driver mutation (EGFR-mutant n = 61, KRAS-mutant n = 120, wild-type n = 311—wild-type for EGFR and KRAS, since tumors carrying other drivers were not separately excluded; double mutants, n = 2, excluded) using per-tumor ω (the mean over all TT pairs in which a tumor participates, including pairs with tumors of other driver classes, so the group means are not formed from disjoint pair sets; Fig. 5b). KRAS-mutant tumors showed the highest tissue-level divergence (mean ω = 136.9), exceeding wild-type (115.4; Kruskal-Wallis across groups P = 7.8 × 10⁻⁷; Dunn–Holm P = 3.6 × 10⁻⁷) and EGFR-mutant tumors (122.2; Dunn–Holm P = 0.008), while EGFR-mutant and wild-type tumors did not differ significantly (Dunn–Holm P = 0.39; bootstrap difference 6.8, 95% CI −2.1 to 15.2). The k_f/k_n decomposition separated the two drivers’ associations mechanistically (Fig. 5c,d): the KRAS contrast carried a functional component (KRAS versus EGFR under k_f alone, Dunn–Holm P = 0.015; KRAS−WT k_f difference 0.011, 95% CI 0.002–0.019) accompanied by a lower k_n (WT &gt; KRAS, Dunn–Holm P = 4.2 × 10⁻⁴), both of which raise the ratio. The elevation was carried predominantly by the lower baseline (k_n contributed ~84% of the log-ω gap; the unadjusted k_f contrast was non-significant, Dunn P = 0.097). Because driver classes could differ in tumor purity, we scored every tumor with the ESTIMATE stromal and immune signatures and used the combined admixture score as a covariate (Methods): admixture differed across driver groups, highest in EGFR-mutant tumors (Kruskal-Wallis P = 0.003), and after admixture adjustment the KRAS–wild-type difference remained significant for both components (Δω +16.8, P = 4.0 × 10⁻⁶; Δk_f +0.012, P = 0.009; Δk_n −0.0004, P = 0.003), whereas EGFR-mutant tumors no longer differed from wild-type in any metric (all P &gt; 0.4)—the apparent EGFR elevation is attributable to stromal/immune admixture rather than to a baseline shift. KRAS-mutant tumors were strongly enriched for ever-smokers (94% versus 63% in EGFR-mutant and 86% in wild-type tumors, χ² = 30.3, P = 2.7 × 10⁻⁷), yet adjusting for smoking status—alone or jointly with age, sex, and admixture—left the KRAS–wild-type differences essentially unchanged (Δω +13.9, P = 5.9 × 10⁻⁴ with smoking alone; +13.6, P = 3.3 × 10⁻⁴ in the joint model, with both components likewise retained; Section 3.13 of the Supplementary Information). That a single bulk-level statistic, read through its components, distinguishes a functionally divergent driver class (KRAS, robust to purity and smoking adjustment) from an apparent association explained by admixture (EGFR) is precisely the decomposition CKI is designed to provide—although these remain observational associations: the admixture score is an ESTIMATE-style proxy rather than a consensus-purity estimate (it is monotonically equivalent to published ESTIMATE purity, so regression-adjusted conclusions are unaffected), and pack-years data were too sparse to model (smoking status covered 427 of 492 tumors, 87%). Within-cancer-type stratification analyses beyond LUAD (LIHC Edmondson grade, BRCA PAM50) are reported as denominator-dominated vignettes in the Supplementary Information (Supplementary Note 9; Supplementary Fig. 4b), because both orderings reverse under k_f alone.</w:t>
      </w:r>
    </w:p>
    <w:p>
      <w:pPr>
        <w:spacing w:line="276" w:lineRule="auto" w:after="80"/>
        <w:ind w:firstLine="0"/>
      </w:pPr>
      <w:r>
        <w:rPr>
          <w:rFonts w:ascii="Arial" w:hAnsi="Arial"/>
          <w:b w:val="0"/>
          <w:i w:val="0"/>
          <w:color w:val="000000"/>
          <w:sz w:val="22"/>
        </w:rPr>
        <w:t xml:space="preserve">Three controls bound the interpretation of the pan-cancer reversal. First, a four-panel marker composition check (immune, myeloid, stromal, epithelial) with sample-level cluster bootstrap found the pooled tumor-pair k_n coefficient essentially unchanged after composition adjustment (−1.2%, bootstrap 95% CI −4.1% to +2.6%; per cancer type −16% to +37%), so marker-measurable composition explains little of the pooled reversal, though as a noisy proxy it bounds rather than settles the question (Supplementary Note 8). A gene-signature purity sensitivity settles the direction: scoring every sample with the ESTIMATE stromal and immune signatures (combined admixture; Methods), per-tumor k_n correlated negatively with admixture in every cancer type (r = −0.23 to −0.42), so admixture can only weaken, not create, the TT k_n elevation—and restricting tumor–tumor comparisons to the low-admixture (high-purity) half of tumors increased the NN/TT ratio in all five cancer types (LUAD 2.46 → 2.86, 95% CI 2.41–3.45; LIHC 1.10 → 1.17, its CI still including 1, so the four-of-five CI caliber is preserved; Section 3.13 of the Supplementary Information). The reversal is therefore not an artefact of stromal or immune admixture. Second, all reported TCGA statistics were recomputed under a linear probability mapping (p_i = (TPM + 1)/Σ(TPM + 1), replacing the softmax-over-log2 map), and this linear re-computation is the authoritative caliber throughout: the reversal, its ranking, the k_n elevation, and the LUAD mutation gradient were preserved in direction and rank order, although the LIHC effect size is mapping-sensitive and quantitatively weaker under the linear mapping (NN/TT mean ratio 1.10 versus 1.31 under the softmax mapping; softmax-caliber values are archived as a sensitivity analysis in Section 1.7 of the Supplementary Information). Third, the k_f/k_n decomposition itself localizes the reversal in the denominator, which composition adjustment of k_n leaves intact; a fixed-panel ablation of the per-pair top-200 selection was run for the brain pipeline (Supplementary Note 7) but not for bulk TCGA, so the k_f panel choice remains a residual caveat for the bulk numerator, though not for the denominator-driven reversal. Two further checks bound the numerator’s meaning: enrichment of the LUAD KRAS tumor–tumor identity panels (7,260 pairs, top-200 genes per pair) against the 50 MSigDB Hallmark programs </w:t>
      </w:r>
      <w:r>
        <w:rPr>
          <w:rFonts w:ascii="Arial" w:hAnsi="Arial"/>
          <w:b w:val="0"/>
          <w:i w:val="0"/>
          <w:color w:val="000000"/>
          <w:sz w:val="22"/>
          <w:vertAlign w:val="superscript"/>
        </w:rPr>
        <w:t>15</w:t>
      </w:r>
      <w:r>
        <w:rPr>
          <w:rFonts w:ascii="Arial" w:hAnsi="Arial"/>
          <w:b w:val="0"/>
          <w:i w:val="0"/>
          <w:color w:val="000000"/>
          <w:sz w:val="22"/>
        </w:rPr>
        <w:t xml:space="preserve"> found no program surviving multiple-testing correction (all q ≥ 0.24), consistent with a distributed identity-gene signal rather than a single-pathway artefact; and a pair-level composition regression of log k_f with the admixture covariates retained the TT ≥ NN k_f ordering in all five cancer types (e.g., LUAD adjusted log gap +0.21, P = 8 × 10⁻⁸⁰; Section 3.13 of the Supplementary Information). Remaining limitations are inherent to bulk resolution: TCGA “normal” samples are adjacent non-tumor tissues from cancer patients, not healthy donor tissue, so NN comparisons quantify heterogeneity among adjacent non-tumor specimens; RNA quality differences between tumor and normal specimens cannot be excluded; and per-tumor ω was not associated with overall survival in LIHC (Cox hazard ratio per SD 1.07, 95% CI 0.88–1.31, P = 0.48, adjusted for stage, grade, age, and sex; Methods), so the reversal is a descriptive property of tissue-state divergence, not a prognostic marker. We report all TCGA findings as tissue-level functional divergence at bulk resolution, pending single-cell or deconvolution-based validation.</w:t>
      </w:r>
    </w:p>
    <w:p>
      <w:pPr>
        <w:pStyle w:val="Heading2"/>
        <w:spacing w:before="420" w:after="160"/>
      </w:pPr>
      <w:r>
        <w:rPr>
          <w:rFonts w:ascii="Arial" w:hAnsi="Arial"/>
          <w:color w:val="000000"/>
          <w:sz w:val="24"/>
          <w:b/>
        </w:rPr>
        <w:t>CKI ranks cell types by cross-organ conservation</w:t>
      </w:r>
    </w:p>
    <w:p>
      <w:pPr>
        <w:spacing w:line="276" w:lineRule="auto" w:after="80"/>
        <w:ind w:firstLine="0"/>
      </w:pPr>
      <w:r>
        <w:rPr>
          <w:rFonts w:ascii="Arial" w:hAnsi="Arial"/>
          <w:b w:val="0"/>
          <w:i w:val="0"/>
          <w:color w:val="000000"/>
          <w:sz w:val="22"/>
        </w:rPr>
        <w:t xml:space="preserve">Of the 4,851 Tabula Sapiens cell-type pairs, 59 are same-cell-type cross-organ comparisons, which ask which cell types maintain their identity regardless of residence and which are shaped by their organ environment (Fig. 6; Table 2; Supplementary Fig. 5). The cross-organ ω ranking reveals a broad spectrum of conservation across 17 cell types, of which only the extremes reproduce under k_f (Supplementary Note 9) (Table 2). Because single-pair means are statistically uninformative, we anchor interpretation on well-sampled cell types (n ≥ 5 pairs; upper block of Table 2):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w:t>
      </w:r>
      <w:r>
        <w:rPr>
          <w:rFonts w:ascii="Arial" w:hAnsi="Arial"/>
          <w:b w:val="0"/>
          <w:i w:val="0"/>
          <w:color w:val="000000"/>
          <w:sz w:val="22"/>
          <w:vertAlign w:val="superscript"/>
        </w:rPr>
        <w:t>16</w:t>
      </w:r>
      <w:r>
        <w:rPr>
          <w:rFonts w:ascii="Arial" w:hAnsi="Arial"/>
          <w:b w:val="0"/>
          <w:i w:val="0"/>
          <w:color w:val="000000"/>
          <w:sz w:val="22"/>
        </w:rPr>
        <w:t>, although both are represented by only n = 3 pairs and this end of the ranking is suggestive only. Sparsely sampled types (n = 1–3 pairs, lower block of Table 2)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2), because CKI explicitly normalizes: two populations may share highly expressed genes (high Jaccard similarity), yet a low baseline k_n turns modest functional differences into high ω. A k_f-only control qualifies the ranking’s interpretation (Supplementary Note 9):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w:t>
      </w:r>
    </w:p>
    <w:p>
      <w:pPr>
        <w:pStyle w:val="Heading2"/>
        <w:spacing w:before="420" w:after="160"/>
      </w:pPr>
      <w:r>
        <w:rPr>
          <w:rFonts w:ascii="Arial" w:hAnsi="Arial"/>
          <w:color w:val="000000"/>
          <w:sz w:val="24"/>
          <w:b/>
        </w:rPr>
        <w:t>Brain regional analysis reveals divergence gradients</w:t>
      </w:r>
    </w:p>
    <w:p>
      <w:pPr>
        <w:spacing w:line="276" w:lineRule="auto" w:after="80"/>
        <w:ind w:firstLine="0"/>
      </w:pPr>
      <w:r>
        <w:rPr>
          <w:rFonts w:ascii="Arial" w:hAnsi="Arial"/>
          <w:b w:val="0"/>
          <w:i w:val="0"/>
          <w:color w:val="000000"/>
          <w:sz w:val="22"/>
        </w:rPr>
        <w:t xml:space="preserve">We applied CKI to the Siletti et al. human brain single-nucleus atlas </w:t>
      </w:r>
      <w:r>
        <w:rPr>
          <w:rFonts w:ascii="Arial" w:hAnsi="Arial"/>
          <w:b w:val="0"/>
          <w:i w:val="0"/>
          <w:color w:val="000000"/>
          <w:sz w:val="22"/>
          <w:vertAlign w:val="superscript"/>
        </w:rPr>
        <w:t>12</w:t>
      </w:r>
      <w:r>
        <w:rPr>
          <w:rFonts w:ascii="Arial" w:hAnsi="Arial"/>
          <w:b w:val="0"/>
          <w:i w:val="0"/>
          <w:color w:val="000000"/>
          <w:sz w:val="22"/>
        </w:rPr>
        <w:t xml:space="preserve">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6; Supplementary Fig. 6; Supplementary Table 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Mean ω spanned a 6.10-fold gradient across cell classes (all class-level SDs in this paragraph computed with ddof = 1). Bergmann glia and vascular cells showed the lowest mean ω (both 13.56;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Under class-specific split-half baselines the gradient is 5.99 (95% CI [4.43, 7.69], studentized bootstrap-t region-clustered bootstrap, superseding the under-covering percentile interval [4.12, 9.18]; Supplementary Note 2; see Discussion). Region-clustered bootstrap 95% CIs for the class-level means (B = 2,000; Methods): astrocytes [75.66, 89.53], oligodendrocyte precursors [37.02, 44.21], oligodendrocytes [34.31, 39.88], microglia [21.80, 26.87], Bergmann glia [5.76, 28.59] (studentized bootstrap-t; the earlier percentile interval under-covers at 7 clusters; Supplementary Note 2).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(Supplementary Fig. 7).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Supplementary Note 10). Class-mean k_n correlates negatively with log10(class size) (Spearman ρ = −0.648, P = 0.043)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Fourth, the gradient is robust to the 20-nuclei group-size threshold in direction but not magnitude: thresholds of 10, 20 (reported), 50, and 100 nuclei retain 10, 10, 10, and 8 classes with gradients of 6.60, 6.10, and 4.12; large classes change ≤ 2% in mean ω (microglia +4.8%), and the lowest rank is a near-tie that flips with threshold choice, so thresholds must stay at or below 50 nuclei to retain all ten classes (Supplementary Note 10).</w:t>
      </w:r>
    </w:p>
    <w:p>
      <w:pPr>
        <w:spacing w:line="276" w:lineRule="auto" w:after="80"/>
        <w:ind w:firstLine="0"/>
      </w:pPr>
      <w:r>
        <w:rPr>
          <w:rFonts w:ascii="Arial" w:hAnsi="Arial"/>
          <w:b w:val="0"/>
          <w:i w:val="0"/>
          <w:color w:val="000000"/>
          <w:sz w:val="22"/>
        </w:rPr>
        <w:t xml:space="preserve">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w:t>
      </w:r>
      <w:r>
        <w:rPr>
          <w:rFonts w:ascii="Arial" w:hAnsi="Arial"/>
          <w:b w:val="0"/>
          <w:i w:val="0"/>
          <w:color w:val="000000"/>
          <w:sz w:val="22"/>
          <w:vertAlign w:val="superscript"/>
        </w:rPr>
        <w:t>17</w:t>
      </w:r>
      <w:r>
        <w:rPr>
          <w:rFonts w:ascii="Arial" w:hAnsi="Arial"/>
          <w:b w:val="0"/>
          <w:i w:val="0"/>
          <w:color w:val="000000"/>
          <w:sz w:val="22"/>
        </w:rPr>
        <w:t xml:space="preserve">; meningeal structure differs across compartments </w:t>
      </w:r>
      <w:r>
        <w:rPr>
          <w:rFonts w:ascii="Arial" w:hAnsi="Arial"/>
          <w:b w:val="0"/>
          <w:i w:val="0"/>
          <w:color w:val="000000"/>
          <w:sz w:val="22"/>
          <w:vertAlign w:val="superscript"/>
        </w:rPr>
        <w:t>18</w:t>
      </w:r>
      <w:r>
        <w:rPr>
          <w:rFonts w:ascii="Arial" w:hAnsi="Arial"/>
          <w:b w:val="0"/>
          <w:i w:val="0"/>
          <w:color w:val="000000"/>
          <w:sz w:val="22"/>
        </w:rPr>
        <w:t xml:space="preserve">). Microglia showed intermediate divergence: regional phenotypes vary but core surveillance machinery is shared </w:t>
      </w:r>
      <w:r>
        <w:rPr>
          <w:rFonts w:ascii="Arial" w:hAnsi="Arial"/>
          <w:b w:val="0"/>
          <w:i w:val="0"/>
          <w:color w:val="000000"/>
          <w:sz w:val="22"/>
          <w:vertAlign w:val="superscript"/>
        </w:rPr>
        <w:t>19</w:t>
      </w:r>
      <w:r>
        <w:rPr>
          <w:rFonts w:ascii="Arial" w:hAnsi="Arial"/>
          <w:b w:val="0"/>
          <w:i w:val="0"/>
          <w:color w:val="000000"/>
          <w:sz w:val="22"/>
        </w:rPr>
        <w:t>.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pairs: a hypothesis-generating screen</w:t>
      </w:r>
    </w:p>
    <w:p>
      <w:pPr>
        <w:spacing w:line="276" w:lineRule="auto" w:after="80"/>
        <w:ind w:firstLine="0"/>
      </w:pPr>
      <w:r>
        <w:rPr>
          <w:rFonts w:ascii="Arial" w:hAnsi="Arial"/>
          <w:b w:val="0"/>
          <w:i w:val="0"/>
          <w:color w:val="000000"/>
          <w:sz w:val="22"/>
        </w:rPr>
        <w:t xml:space="preserve">Low CKI ω for a cell type across two regions indicates transcriptomic similarity beyond baseline expectation, arising from non-exclusive mechanisms (developmental origin heterogeneity, embryonic colonization route boundaries </w:t>
      </w:r>
      <w:r>
        <w:rPr>
          <w:rFonts w:ascii="Arial" w:hAnsi="Arial"/>
          <w:b w:val="0"/>
          <w:i w:val="0"/>
          <w:color w:val="000000"/>
          <w:sz w:val="22"/>
          <w:vertAlign w:val="superscript"/>
        </w:rPr>
        <w:t>20–22</w:t>
      </w:r>
      <w:r>
        <w:rPr>
          <w:rFonts w:ascii="Arial" w:hAnsi="Arial"/>
          <w:b w:val="0"/>
          <w:i w:val="0"/>
          <w:color w:val="000000"/>
          <w:sz w:val="22"/>
        </w:rPr>
        <w:t xml:space="preserve">, compartmentalized developmental specification, postnatal migration </w:t>
      </w:r>
      <w:r>
        <w:rPr>
          <w:rFonts w:ascii="Arial" w:hAnsi="Arial"/>
          <w:b w:val="0"/>
          <w:i w:val="0"/>
          <w:color w:val="000000"/>
          <w:sz w:val="22"/>
          <w:vertAlign w:val="superscript"/>
        </w:rPr>
        <w:t>23,24</w:t>
      </w:r>
      <w:r>
        <w:rPr>
          <w:rFonts w:ascii="Arial" w:hAnsi="Arial"/>
          <w:b w:val="0"/>
          <w:i w:val="0"/>
          <w:color w:val="000000"/>
          <w:sz w:val="22"/>
        </w:rPr>
        <w:t>). We report the screen’s global verdict first: under a design-matched null that recomputes the full selection rule on every block-shuffle permutation, the expected number of Strong candidates is 148.3—the 39 observed lie 3.8-fold below the null expectation (P(null count ≥ 39) = 1.0), and no candidate survives FDR correction (minimum q = 0.520). The catalogue below is therefore a prioritized hypothesis list, not discoveries, and mechanism assignment is literature-guided; the oligodendrocyte lineage is not enriched (fold 0.77, P = 0.92), so migration-driven similarity is not currently evidenced. Region abbreviations follow the Siletti et al. dissection nomenclature (glossary in Supplementary Note 11).</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Supplementary Fig. 8).</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(Supplementary Table 4). Under the block-shuffle null (B = 1,000; Supplementary Fig. 9),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and ependymal cells (2) contributing the rest;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Supplementary Note 12; Supplementary Fig. 10).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spacing w:line="276" w:lineRule="auto" w:after="80"/>
        <w:ind w:firstLine="0"/>
      </w:pPr>
      <w:r>
        <w:rPr>
          <w:rFonts w:ascii="Arial" w:hAnsi="Arial"/>
          <w:b w:val="0"/>
          <w:i w:val="0"/>
          <w:color w:val="000000"/>
          <w:sz w:val="22"/>
        </w:rPr>
        <w:t xml:space="preserve">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Supplementary Note 11). With no candidate surviving FDR correction and the concentration mirroring the rule’s bias, these entries are hypothesis-generating targets for spatial-transcriptomic and lineage follow-up </w:t>
      </w:r>
      <w:r>
        <w:rPr>
          <w:rFonts w:ascii="Arial" w:hAnsi="Arial"/>
          <w:b w:val="0"/>
          <w:i w:val="0"/>
          <w:color w:val="000000"/>
          <w:sz w:val="22"/>
          <w:vertAlign w:val="superscript"/>
        </w:rPr>
        <w:t>19</w:t>
      </w:r>
      <w:r>
        <w:rPr>
          <w:rFonts w:ascii="Arial" w:hAnsi="Arial"/>
          <w:b w:val="0"/>
          <w:i w:val="0"/>
          <w:color w:val="000000"/>
          <w:sz w:val="22"/>
        </w:rPr>
        <w:t>, not evidence of microglia-specific regional association.</w:t>
      </w:r>
    </w:p>
    <w:p>
      <w:pPr>
        <w:spacing w:line="276" w:lineRule="auto" w:after="80"/>
        <w:ind w:firstLine="0"/>
      </w:pPr>
      <w:r>
        <w:rPr>
          <w:rFonts w:ascii="Arial" w:hAnsi="Arial"/>
          <w:b w:val="0"/>
          <w:i w:val="0"/>
          <w:color w:val="000000"/>
          <w:sz w:val="22"/>
        </w:rPr>
        <w:t xml:space="preserve">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Supplementary Note 13). Adult oligodendrocytes are generally non-migratory between regions; Foerster et al. </w:t>
      </w:r>
      <w:r>
        <w:rPr>
          <w:rFonts w:ascii="Arial" w:hAnsi="Arial"/>
          <w:b w:val="0"/>
          <w:i w:val="0"/>
          <w:color w:val="000000"/>
          <w:sz w:val="22"/>
          <w:vertAlign w:val="superscript"/>
        </w:rPr>
        <w:t>25</w:t>
      </w:r>
      <w:r>
        <w:rPr>
          <w:rFonts w:ascii="Arial" w:hAnsi="Arial"/>
          <w:b w:val="0"/>
          <w:i w:val="0"/>
          <w:color w:val="000000"/>
          <w:sz w:val="22"/>
        </w:rPr>
        <w:t xml:space="preserve">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spacing w:line="276" w:lineRule="auto" w:after="80"/>
        <w:ind w:firstLine="0"/>
      </w:pPr>
      <w:r>
        <w:rPr>
          <w:rFonts w:ascii="Arial" w:hAnsi="Arial"/>
          <w:b w:val="0"/>
          <w:i w:val="0"/>
          <w:color w:val="000000"/>
          <w:sz w:val="22"/>
        </w:rPr>
        <w:t xml:space="preserve">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w:t>
      </w:r>
      <w:r>
        <w:rPr>
          <w:rFonts w:ascii="Arial" w:hAnsi="Arial"/>
          <w:b w:val="0"/>
          <w:i w:val="0"/>
          <w:color w:val="000000"/>
          <w:sz w:val="22"/>
          <w:vertAlign w:val="superscript"/>
        </w:rPr>
        <w:t>26,27</w:t>
      </w:r>
      <w:r>
        <w:rPr>
          <w:rFonts w:ascii="Arial" w:hAnsi="Arial"/>
          <w:b w:val="0"/>
          <w:i w:val="0"/>
          <w:color w:val="000000"/>
          <w:sz w:val="22"/>
        </w:rPr>
        <w:t xml:space="preserve">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w:t>
      </w:r>
      <w:r>
        <w:rPr>
          <w:rFonts w:ascii="Arial" w:hAnsi="Arial"/>
          <w:b w:val="0"/>
          <w:i w:val="0"/>
          <w:color w:val="000000"/>
          <w:sz w:val="22"/>
          <w:vertAlign w:val="superscript"/>
        </w:rPr>
        <w:t>28</w:t>
      </w:r>
      <w:r>
        <w:rPr>
          <w:rFonts w:ascii="Arial" w:hAnsi="Arial"/>
          <w:b w:val="0"/>
          <w:i w:val="0"/>
          <w:color w:val="000000"/>
          <w:sz w:val="22"/>
        </w:rPr>
        <w:t xml:space="preserve">; cerebellar molecular topography </w:t>
      </w:r>
      <w:r>
        <w:rPr>
          <w:rFonts w:ascii="Arial" w:hAnsi="Arial"/>
          <w:b w:val="0"/>
          <w:i w:val="0"/>
          <w:color w:val="000000"/>
          <w:sz w:val="22"/>
          <w:vertAlign w:val="superscript"/>
        </w:rPr>
        <w:t>26</w:t>
      </w:r>
      <w:r>
        <w:rPr>
          <w:rFonts w:ascii="Arial" w:hAnsi="Arial"/>
          <w:b w:val="0"/>
          <w:i w:val="0"/>
          <w:color w:val="000000"/>
          <w:sz w:val="22"/>
        </w:rPr>
        <w:t>),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 xml:space="preserve">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w:t>
      </w:r>
      <w:r>
        <w:rPr>
          <w:rFonts w:ascii="Arial" w:hAnsi="Arial"/>
          <w:b w:val="0"/>
          <w:i w:val="0"/>
          <w:color w:val="000000"/>
          <w:sz w:val="22"/>
          <w:vertAlign w:val="superscript"/>
        </w:rPr>
        <w:t>29</w:t>
      </w:r>
      <w:r>
        <w:rPr>
          <w:rFonts w:ascii="Arial" w:hAnsi="Arial"/>
          <w:b w:val="0"/>
          <w:i w:val="0"/>
          <w:color w:val="000000"/>
          <w:sz w:val="22"/>
        </w:rPr>
        <w:t xml:space="preserve">, and the constrained-variance property of housekeeping genes has been characterized at the genomic level </w:t>
      </w:r>
      <w:r>
        <w:rPr>
          <w:rFonts w:ascii="Arial" w:hAnsi="Arial"/>
          <w:b w:val="0"/>
          <w:i w:val="0"/>
          <w:color w:val="000000"/>
          <w:sz w:val="22"/>
          <w:vertAlign w:val="superscript"/>
        </w:rPr>
        <w:t>13,30</w:t>
      </w:r>
      <w:r>
        <w:rPr>
          <w:rFonts w:ascii="Arial" w:hAnsi="Arial"/>
          <w:b w:val="0"/>
          <w:i w:val="0"/>
          <w:color w:val="000000"/>
          <w:sz w:val="22"/>
        </w:rPr>
        <w:t xml:space="preserve">. The idea that an intrinsic, gene-property-dependent noise floor can serve as a baseline has likewise been central to the transcriptional-noise literature </w:t>
      </w:r>
      <w:r>
        <w:rPr>
          <w:rFonts w:ascii="Arial" w:hAnsi="Arial"/>
          <w:b w:val="0"/>
          <w:i w:val="0"/>
          <w:color w:val="000000"/>
          <w:sz w:val="22"/>
          <w:vertAlign w:val="superscript"/>
        </w:rPr>
        <w:t>31–33</w:t>
      </w:r>
      <w:r>
        <w:rPr>
          <w:rFonts w:ascii="Arial" w:hAnsi="Arial"/>
          <w:b w:val="0"/>
          <w:i w:val="0"/>
          <w:color w:val="000000"/>
          <w:sz w:val="22"/>
        </w:rPr>
        <w:t>,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w:t>
      </w:r>
    </w:p>
    <w:p>
      <w:pPr>
        <w:spacing w:line="276" w:lineRule="auto" w:after="80"/>
        <w:ind w:firstLine="0"/>
      </w:pPr>
      <w:r>
        <w:rPr>
          <w:rFonts w:ascii="Arial" w:hAnsi="Arial"/>
          <w:b w:val="0"/>
          <w:i w:val="0"/>
          <w:color w:val="000000"/>
          <w:sz w:val="22"/>
        </w:rPr>
        <w:t>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 xml:space="preserve">CKI complements rather than replaces existing methods. SAMap </w:t>
      </w:r>
      <w:r>
        <w:rPr>
          <w:rFonts w:ascii="Arial" w:hAnsi="Arial"/>
          <w:b w:val="0"/>
          <w:i w:val="0"/>
          <w:color w:val="000000"/>
          <w:sz w:val="22"/>
          <w:vertAlign w:val="superscript"/>
        </w:rPr>
        <w:t>34</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excel at cross-species alignment; CACIMAR </w:t>
      </w:r>
      <w:r>
        <w:rPr>
          <w:rFonts w:ascii="Arial" w:hAnsi="Arial"/>
          <w:b w:val="0"/>
          <w:i w:val="0"/>
          <w:color w:val="000000"/>
          <w:sz w:val="22"/>
          <w:vertAlign w:val="superscript"/>
        </w:rPr>
        <w:t>35</w:t>
      </w:r>
      <w:r>
        <w:rPr>
          <w:rFonts w:ascii="Arial" w:hAnsi="Arial"/>
          <w:b w:val="0"/>
          <w:i w:val="0"/>
          <w:color w:val="000000"/>
          <w:sz w:val="22"/>
        </w:rPr>
        <w:t xml:space="preserve">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 xml:space="preserve">We also compared CKI with Augur </w:t>
      </w:r>
      <w:r>
        <w:rPr>
          <w:rFonts w:ascii="Arial" w:hAnsi="Arial"/>
          <w:b w:val="0"/>
          <w:i w:val="0"/>
          <w:color w:val="000000"/>
          <w:sz w:val="22"/>
          <w:vertAlign w:val="superscript"/>
        </w:rPr>
        <w:t>36</w:t>
      </w:r>
      <w:r>
        <w:rPr>
          <w:rFonts w:ascii="Arial" w:hAnsi="Arial"/>
          <w:b w:val="0"/>
          <w:i w:val="0"/>
          <w:color w:val="000000"/>
          <w:sz w:val="22"/>
        </w:rPr>
        <w:t>, which prioritizes cell types by how predictable a condition is from single-cell expression, on the brain atlas (pure-Python port of Augur v1.0.3; 33,036 stratified nuclei; 10 non-neuronal classes; condition label = brain region; Supplementary Note 14). Under the confound-controlled primary analysis (binary one-vs-rest tasks, comparable across classes despite region-set sizes of 6–107),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the shared signal localizes to the k_f numerator rather than k_n, whose regional variation is largely invisible to whole-transcriptome classifier separability. CKI is therefore complementary to, not redundant with, perturbation-prioritization tools. A multiclass macro-OvR sensitivity run gave a weaker, confounded association (versus ω ρ = 0.127, P = 0.726; AUC correlated with eligible-region count at ρ = −0.744, P = 0.014). With n = 10 classes these correlations are descriptive only.</w:t>
      </w:r>
    </w:p>
    <w:p>
      <w:pPr>
        <w:spacing w:line="276" w:lineRule="auto" w:after="80"/>
        <w:ind w:firstLine="0"/>
      </w:pPr>
      <w:r>
        <w:rPr>
          <w:rFonts w:ascii="Arial" w:hAnsi="Arial"/>
          <w:b w:val="0"/>
          <w:i w:val="0"/>
          <w:color w:val="000000"/>
          <w:sz w:val="22"/>
        </w:rPr>
        <w:t xml:space="preserve">The pan-cancer reversal—tumor specimens less divergent than adjacent non-tumor tissue (mean NN/TT 1.10–2.46, cluster-bootstrap CIs excluding 1 in four of five cancers)—is a robust tissue-level observation whose mechanistic reading remains cautious: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(Supplementary Note 8): tumor-tumor pairs do show larger composition differences than normal-normal pairs (median |Delta z| 1.33–1.46-fold higher across the immune, stromal, and epithelial panels, and 1.24-fold with the myeloid panel included; all P &lt; 10⁻⁷⁷), and within tumor-tumor pairs k_n correlates with the overall four-panel composition difference (Spearman ρ = 0.387 pooled; 0.23–0.52 per cancer type); however, in regressions of log k_n on pair type with the four composition deltas as covariates—including a myeloid panel (CD68, CD163, LST1, FCGR3A, C1QA)—and sample-level cluster bootstrap confidence intervals (B = 200), the tumor-pair coefficient attenuates by −0.5% pooled (95% CI [−3.2%, +2.6%]), with marked per-cancer heterogeneity (BRCA −14.0%, LUSC −9.7%, LUAD −2.3%, KIRC +19.6%, LIHC +33.5%).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w:t>
      </w:r>
      <w:r>
        <w:rPr>
          <w:rFonts w:ascii="Arial" w:hAnsi="Arial"/>
          <w:b w:val="0"/>
          <w:i w:val="0"/>
          <w:color w:val="000000"/>
          <w:sz w:val="22"/>
          <w:vertAlign w:val="superscript"/>
        </w:rPr>
        <w:t>37</w:t>
      </w:r>
      <w:r>
        <w:rPr>
          <w:rFonts w:ascii="Arial" w:hAnsi="Arial"/>
          <w:b w:val="0"/>
          <w:i w:val="0"/>
          <w:color w:val="000000"/>
          <w:sz w:val="22"/>
        </w:rPr>
        <w:t xml:space="preserve"> or RNA-quality differences instead, and single-cell or deconvolution-based validation remains necessary. Two further limitations bound the bulk analysis: within each cancer type, tumor and adjacent non-tumor aliquots differ systematically in tissue-source site and processing batch (a known TCGA property), so part of the NN/TT contrast could track these technical strata—we did not test a batch-matched subset; and adjacent non-tumor tissue from cancer patients is not healthy tissue, so separating tumor-specific housekeeping elevation from field effects will ultimately require an external healthy reference (e.g., GTEx), which we leave to future work. Within LUAD, the KRAS enrichment among ever-smokers mirrors known lung-adenocarcinoma epidemiology, yet smoking status itself does not carry the divergence association, so the KRAS-linked functional divergence is unlikely to be a smoking-field effect; and although the purity adjustment relies on an ESTIMATE-style signature score rather than a consensus-purity estimate, the score is monotonically equivalent to published ESTIMATE purity, leaving the adjusted conclusions unchanged. The PAM50 gradient cannot be read as a functional-divergence ordering: under k_f-only analysis the subtype ordering largely reverses (Luminal A lowest mean k_f, Basal-like highest; Supplementary Note 9),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 xml:space="preserve">The cross-organ and cross-brain-region analyses indicate that CKI can serve as a general tool for measuring functional differentiation at multiple spatial scales. The brain analysis showed a 6.10-fold ω gradient across 10 cell classes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Supplementary Note 2),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Supplementary Note 13—rather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w:t>
      </w:r>
      <w:r>
        <w:rPr>
          <w:rFonts w:ascii="Arial" w:hAnsi="Arial"/>
          <w:b w:val="0"/>
          <w:i w:val="0"/>
          <w:color w:val="000000"/>
          <w:sz w:val="22"/>
          <w:vertAlign w:val="superscript"/>
        </w:rPr>
        <w:t>25</w:t>
      </w:r>
      <w:r>
        <w:rPr>
          <w:rFonts w:ascii="Arial" w:hAnsi="Arial"/>
          <w:b w:val="0"/>
          <w:i w:val="0"/>
          <w:color w:val="000000"/>
          <w:sz w:val="22"/>
        </w:rPr>
        <w:t xml:space="preserve">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w:t>
      </w:r>
      <w:r>
        <w:rPr>
          <w:rFonts w:ascii="Arial" w:hAnsi="Arial"/>
          <w:b w:val="0"/>
          <w:i w:val="0"/>
          <w:color w:val="000000"/>
          <w:sz w:val="22"/>
          <w:vertAlign w:val="superscript"/>
        </w:rPr>
        <w:t>38</w:t>
      </w:r>
      <w:r>
        <w:rPr>
          <w:rFonts w:ascii="Arial" w:hAnsi="Arial"/>
          <w:b w:val="0"/>
          <w:i w:val="0"/>
          <w:color w:val="000000"/>
          <w:sz w:val="22"/>
        </w:rPr>
        <w:t xml:space="preserve"> was limited by the small number of directly comparable cell types: across the 15 shared cell types, per-cell-type mean ω rankings showed no significant cross-species correlation (Spearman r = −0.17, P = 0.55; Supplementary Fig. 11),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 xml:space="preserve">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w:t>
      </w:r>
      <w:r>
        <w:rPr>
          <w:rFonts w:ascii="Arial" w:hAnsi="Arial"/>
          <w:b w:val="0"/>
          <w:i w:val="0"/>
          <w:color w:val="000000"/>
          <w:sz w:val="22"/>
          <w:vertAlign w:val="superscript"/>
        </w:rPr>
        <w:t>39,40</w:t>
      </w:r>
      <w:r>
        <w:rPr>
          <w:rFonts w:ascii="Arial" w:hAnsi="Arial"/>
          <w:b w:val="0"/>
          <w:i w:val="0"/>
          <w:color w:val="000000"/>
          <w:sz w:val="22"/>
        </w:rPr>
        <w:t xml:space="preserve">,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Supplementary Note 13).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w:t>
      </w:r>
      <w:r>
        <w:rPr>
          <w:rFonts w:ascii="Arial" w:hAnsi="Arial"/>
          <w:b w:val="0"/>
          <w:i w:val="0"/>
          <w:color w:val="000000"/>
          <w:sz w:val="22"/>
          <w:vertAlign w:val="superscript"/>
        </w:rPr>
        <w:t>25</w:t>
      </w:r>
      <w:r>
        <w:rPr>
          <w:rFonts w:ascii="Arial" w:hAnsi="Arial"/>
          <w:b w:val="0"/>
          <w:i w:val="0"/>
          <w:color w:val="000000"/>
          <w:sz w:val="22"/>
        </w:rPr>
        <w:t xml:space="preserve">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spacing w:line="276" w:lineRule="auto" w:after="80"/>
        <w:ind w:firstLine="0"/>
      </w:pPr>
      <w:r>
        <w:rPr>
          <w:rFonts w:ascii="Arial" w:hAnsi="Arial"/>
          <w:b w:val="0"/>
          <w:i w:val="0"/>
          <w:color w:val="000000"/>
          <w:sz w:val="22"/>
        </w:rPr>
        <w:t xml:space="preserve">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discussed below);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the supplementary stratification vignettes predominantly denominator effects; the LUAD KRAS gradient as the k_f-stable exception; cross-organ cell-type ranking not reproduced under k_f-only; Supplementary Note 9), so the honest default for ordering claims is k_f plus a design-matched null, with ω reserved for its specificity-first property—rejecting HK-anchored neutral drift—rather than for ranking; the real-data neutral-drift calibration on technical replicates supports exactly this reading (ω misreported least among the continuous divergence metrics at every tier of the drift ladder while retaining sensitivity to genuine regional divergence; marker Jaccard was more conservative still but offers no k_n/k_f decomposition; Results). A real perturbation demonstration (Kang et al. </w:t>
      </w:r>
      <w:r>
        <w:rPr>
          <w:rFonts w:ascii="Arial" w:hAnsi="Arial"/>
          <w:b w:val="0"/>
          <w:i w:val="0"/>
          <w:color w:val="000000"/>
          <w:sz w:val="22"/>
          <w:vertAlign w:val="superscript"/>
        </w:rPr>
        <w:t>14</w:t>
      </w:r>
      <w:r>
        <w:rPr>
          <w:rFonts w:ascii="Arial" w:hAnsi="Arial"/>
          <w:b w:val="0"/>
          <w:i w:val="0"/>
          <w:color w:val="000000"/>
          <w:sz w:val="22"/>
        </w:rPr>
        <w:t>;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(Supplementary Fig. 3).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spacing w:line="276" w:lineRule="auto" w:after="80"/>
        <w:ind w:firstLine="0"/>
      </w:pPr>
      <w:r>
        <w:rPr>
          <w:rFonts w:ascii="Arial" w:hAnsi="Arial"/>
          <w:b w:val="0"/>
          <w:i w:val="0"/>
          <w:color w:val="000000"/>
          <w:sz w:val="22"/>
        </w:rPr>
        <w:t>Scope of the index, parameters, and test direction.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but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Supplementary Fig. 12), so SES is reported as a descriptive measure of effect size rather than a parametric test statistic. The one-sided permutation test (H1: ω_obs &gt; ω_null) does not detect functional constraint (ω_obs &lt; ω_null);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 xml:space="preserve">Gene-set definition, calibration, and estimator dependence. CKI uses the HRT Atlas v1.0 reference </w:t>
      </w:r>
      <w:r>
        <w:rPr>
          <w:rFonts w:ascii="Arial" w:hAnsi="Arial"/>
          <w:b w:val="0"/>
          <w:i w:val="0"/>
          <w:color w:val="000000"/>
          <w:sz w:val="22"/>
          <w:vertAlign w:val="superscript"/>
        </w:rPr>
        <w:t>13</w:t>
      </w:r>
      <w:r>
        <w:rPr>
          <w:rFonts w:ascii="Arial" w:hAnsi="Arial"/>
          <w:b w:val="0"/>
          <w:i w:val="0"/>
          <w:color w:val="000000"/>
          <w:sz w:val="22"/>
        </w:rPr>
        <w:t xml:space="preserve">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w:t>
      </w:r>
      <w:r>
        <w:rPr>
          <w:rFonts w:ascii="Arial" w:hAnsi="Arial"/>
          <w:b w:val="0"/>
          <w:i w:val="0"/>
          <w:color w:val="000000"/>
          <w:sz w:val="22"/>
          <w:vertAlign w:val="superscript"/>
        </w:rPr>
        <w:t>37</w:t>
      </w:r>
      <w:r>
        <w:rPr>
          <w:rFonts w:ascii="Arial" w:hAnsi="Arial"/>
          <w:b w:val="0"/>
          <w:i w:val="0"/>
          <w:color w:val="000000"/>
          <w:sz w:val="22"/>
        </w:rPr>
        <w:t>, potentially affecting the k_n baseline in a disease-specific manner—one instance of the anchor-failure scope stated with the concept definition (Introduction). The empirical calibration factor (ω_cal = ω / 7.70, 95% CI [7.37, 8.02]) derives from mouse split-half controls (50 replicates across six control populations) under the per-pair DE hybrid scheme; the mouse full pairwise matrix (703 pairs, Supplementary Fig. 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(Supplementary Note 15 excludes dimension effects but not expression-level effects); the ‘functional’ reading of k_f should be tempered accordingly. A semi-synthetic ground-truth simulation (module-shift injection on a real single-cell background; Supplementary Note 1)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(Supplementary Note 5).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Supplementary Note 12, Supplementary Fig. 10).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 xml:space="preserve">We normalize raw count matrices to 10,000 counts per cell and apply log1p transformation </w:t>
      </w:r>
      <w:r>
        <w:rPr>
          <w:rFonts w:ascii="Arial" w:hAnsi="Arial"/>
          <w:b w:val="0"/>
          <w:i w:val="0"/>
          <w:color w:val="000000"/>
          <w:sz w:val="22"/>
          <w:vertAlign w:val="superscript"/>
        </w:rPr>
        <w:t>41</w:t>
      </w:r>
      <w:r>
        <w:rPr>
          <w:rFonts w:ascii="Arial" w:hAnsi="Arial"/>
          <w:b w:val="0"/>
          <w:i w:val="0"/>
          <w:color w:val="000000"/>
          <w:sz w:val="22"/>
        </w:rPr>
        <w:t xml:space="preserve">. Pseudobulk vectors average expression across cells sharing the same cell-type annotation (at least 20 cells per entry (pseudobulk group); at least one donor/mouse contributing at least 10 cells). Housekeeping (HK) genes are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 xml:space="preserve">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Then k_n = JS(norm(ε_A[H]), norm(ε_B[H])), where H is the set of HK gene indices; k_f = JS(norm(ε_A[I]), norm(ε_B[I])), where I is the set of top-2,000 highly variable genes (HVGs; Seurat flavor) excluding HK genes; ω = k_f/k_n, with JS divergence </w:t>
      </w:r>
      <w:r>
        <w:rPr>
          <w:rFonts w:ascii="Arial" w:hAnsi="Arial"/>
          <w:b w:val="0"/>
          <w:i w:val="0"/>
          <w:color w:val="000000"/>
          <w:sz w:val="22"/>
          <w:vertAlign w:val="superscript"/>
        </w:rPr>
        <w:t>42</w:t>
      </w:r>
      <w:r>
        <w:rPr>
          <w:rFonts w:ascii="Arial" w:hAnsi="Arial"/>
          <w:b w:val="0"/>
          <w:i w:val="0"/>
          <w:color w:val="000000"/>
          <w:sz w:val="22"/>
        </w:rPr>
        <w:t xml:space="preserve">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the Supplementary Information.</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Supplementary Fig. 13).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 xml:space="preserve">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w:t>
      </w:r>
      <w:r>
        <w:rPr>
          <w:rFonts w:ascii="Arial" w:hAnsi="Arial"/>
          <w:b w:val="0"/>
          <w:i w:val="0"/>
          <w:color w:val="000000"/>
          <w:sz w:val="22"/>
          <w:vertAlign w:val="superscript"/>
        </w:rPr>
        <w:t>43</w:t>
      </w:r>
      <w:r>
        <w:rPr>
          <w:rFonts w:ascii="Arial" w:hAnsi="Arial"/>
          <w:b w:val="0"/>
          <w:i w:val="0"/>
          <w:color w:val="000000"/>
          <w:sz w:val="22"/>
        </w:rPr>
        <w:t xml:space="preserve">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 xml:space="preserve">Tabula Muris FACS SmartSeq2 </w:t>
      </w:r>
      <w:r>
        <w:rPr>
          <w:rFonts w:ascii="Arial" w:hAnsi="Arial"/>
          <w:b w:val="0"/>
          <w:i w:val="0"/>
          <w:color w:val="000000"/>
          <w:sz w:val="22"/>
          <w:vertAlign w:val="superscript"/>
        </w:rPr>
        <w:t>8</w:t>
      </w:r>
      <w:r>
        <w:rPr>
          <w:rFonts w:ascii="Arial" w:hAnsi="Arial"/>
          <w:b w:val="0"/>
          <w:i w:val="0"/>
          <w:color w:val="000000"/>
          <w:sz w:val="22"/>
        </w:rPr>
        <w:t xml:space="preserve">: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w:t>
      </w:r>
      <w:r>
        <w:rPr>
          <w:rFonts w:ascii="Arial" w:hAnsi="Arial"/>
          <w:b w:val="0"/>
          <w:i w:val="0"/>
          <w:color w:val="000000"/>
          <w:sz w:val="22"/>
          <w:vertAlign w:val="superscript"/>
        </w:rPr>
        <w:t>44</w:t>
      </w:r>
      <w:r>
        <w:rPr>
          <w:rFonts w:ascii="Arial" w:hAnsi="Arial"/>
          <w:b w:val="0"/>
          <w:i w:val="0"/>
          <w:color w:val="000000"/>
          <w:sz w:val="22"/>
        </w:rPr>
        <w:t xml:space="preserve"> with flavor="seurat" </w:t>
      </w:r>
      <w:r>
        <w:rPr>
          <w:rFonts w:ascii="Arial" w:hAnsi="Arial"/>
          <w:b w:val="0"/>
          <w:i w:val="0"/>
          <w:color w:val="000000"/>
          <w:sz w:val="22"/>
          <w:vertAlign w:val="superscript"/>
        </w:rPr>
        <w:t>45,46</w:t>
      </w:r>
      <w:r>
        <w:rPr>
          <w:rFonts w:ascii="Arial" w:hAnsi="Arial"/>
          <w:b w:val="0"/>
          <w:i w:val="0"/>
          <w:color w:val="000000"/>
          <w:sz w:val="22"/>
        </w:rPr>
        <w:t xml:space="preserve"> and n_top_genes=2,000.</w:t>
      </w:r>
    </w:p>
    <w:p>
      <w:pPr>
        <w:spacing w:line="276" w:lineRule="auto" w:after="80"/>
        <w:ind w:firstLine="0"/>
      </w:pPr>
      <w:r>
        <w:rPr>
          <w:rFonts w:ascii="Arial" w:hAnsi="Arial"/>
          <w:b w:val="0"/>
          <w:i w:val="0"/>
          <w:color w:val="000000"/>
          <w:sz w:val="22"/>
        </w:rPr>
        <w:t xml:space="preserve">Tabula Sapiens v1.0 </w:t>
      </w:r>
      <w:r>
        <w:rPr>
          <w:rFonts w:ascii="Arial" w:hAnsi="Arial"/>
          <w:b w:val="0"/>
          <w:i w:val="0"/>
          <w:color w:val="000000"/>
          <w:sz w:val="22"/>
          <w:vertAlign w:val="superscript"/>
        </w:rPr>
        <w:t>9</w:t>
      </w:r>
      <w:r>
        <w:rPr>
          <w:rFonts w:ascii="Arial" w:hAnsi="Arial"/>
          <w:b w:val="0"/>
          <w:i w:val="0"/>
          <w:color w:val="000000"/>
          <w:sz w:val="22"/>
        </w:rPr>
        <w:t xml:space="preserve">: accessed via CZ CELLxGENE Discover </w:t>
      </w:r>
      <w:r>
        <w:rPr>
          <w:rFonts w:ascii="Arial" w:hAnsi="Arial"/>
          <w:b w:val="0"/>
          <w:i w:val="0"/>
          <w:color w:val="000000"/>
          <w:sz w:val="22"/>
          <w:vertAlign w:val="superscript"/>
        </w:rPr>
        <w:t>47</w:t>
      </w:r>
      <w:r>
        <w:rPr>
          <w:rFonts w:ascii="Arial" w:hAnsi="Arial"/>
          <w:b w:val="0"/>
          <w:i w:val="0"/>
          <w:color w:val="000000"/>
          <w:sz w:val="22"/>
        </w:rPr>
        <w:t>.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 xml:space="preserve">TCGA bulk RNA-seq </w:t>
      </w:r>
      <w:r>
        <w:rPr>
          <w:rFonts w:ascii="Arial" w:hAnsi="Arial"/>
          <w:b w:val="0"/>
          <w:i w:val="0"/>
          <w:color w:val="000000"/>
          <w:sz w:val="22"/>
          <w:vertAlign w:val="superscript"/>
        </w:rPr>
        <w:t>48</w:t>
      </w:r>
      <w:r>
        <w:rPr>
          <w:rFonts w:ascii="Arial" w:hAnsi="Arial"/>
          <w:b w:val="0"/>
          <w:i w:val="0"/>
          <w:color w:val="000000"/>
          <w:sz w:val="22"/>
        </w:rPr>
        <w:t xml:space="preserve">: five cancer types from NCI Genomic Data Commons, accessed via TCGAbiolinks </w:t>
      </w:r>
      <w:r>
        <w:rPr>
          <w:rFonts w:ascii="Arial" w:hAnsi="Arial"/>
          <w:b w:val="0"/>
          <w:i w:val="0"/>
          <w:color w:val="000000"/>
          <w:sz w:val="22"/>
          <w:vertAlign w:val="superscript"/>
        </w:rPr>
        <w:t>49</w:t>
      </w:r>
      <w:r>
        <w:rPr>
          <w:rFonts w:ascii="Arial" w:hAnsi="Arial"/>
          <w:b w:val="0"/>
          <w:i w:val="0"/>
          <w:color w:val="000000"/>
          <w:sz w:val="22"/>
        </w:rPr>
        <w:t xml:space="preserve"> and cBioPortal </w:t>
      </w:r>
      <w:r>
        <w:rPr>
          <w:rFonts w:ascii="Arial" w:hAnsi="Arial"/>
          <w:b w:val="0"/>
          <w:i w:val="0"/>
          <w:color w:val="000000"/>
          <w:sz w:val="22"/>
          <w:vertAlign w:val="superscript"/>
        </w:rPr>
        <w:t>50</w:t>
      </w:r>
      <w:r>
        <w:rPr>
          <w:rFonts w:ascii="Arial" w:hAnsi="Arial"/>
          <w:b w:val="0"/>
          <w:i w:val="0"/>
          <w:color w:val="000000"/>
          <w:sz w:val="22"/>
        </w:rPr>
        <w:t xml:space="preserve"> APIs. LUAD: 493 tumor + 76 normal; LUSC: 534 tumor + 58 normal; LIHC: 398 tumor + 57 normal; KIRC: 750 tumor + 82 normal; BRCA: 1010 tumor + 109 normal (3,567 samples entering the pair-level analysis; 29 expression-matrix samples were excluded for missing barcode matching or pair coverage). TPM values from UCSC Xena; within each cancer type, genes with mean expression below 0.5 TPM were removed, and the retained values were log2(TPM + 1) transformed. BRCA PAM50 subtype assignments </w:t>
      </w:r>
      <w:r>
        <w:rPr>
          <w:rFonts w:ascii="Arial" w:hAnsi="Arial"/>
          <w:b w:val="0"/>
          <w:i w:val="0"/>
          <w:color w:val="000000"/>
          <w:sz w:val="22"/>
          <w:vertAlign w:val="superscript"/>
        </w:rPr>
        <w:t>51,52</w:t>
      </w:r>
      <w:r>
        <w:rPr>
          <w:rFonts w:ascii="Arial" w:hAnsi="Arial"/>
          <w:b w:val="0"/>
          <w:i w:val="0"/>
          <w:color w:val="000000"/>
          <w:sz w:val="22"/>
        </w:rPr>
        <w:t xml:space="preserve"> were retrieved from cBioPortal (brca_tcga_pub study, PAM50_SUBTYPE clinical attribute; 522 samples with subtype calls). LIHC Edmondson grade </w:t>
      </w:r>
      <w:r>
        <w:rPr>
          <w:rFonts w:ascii="Arial" w:hAnsi="Arial"/>
          <w:b w:val="0"/>
          <w:i w:val="0"/>
          <w:color w:val="000000"/>
          <w:sz w:val="22"/>
          <w:vertAlign w:val="superscript"/>
        </w:rPr>
        <w:t>53</w:t>
      </w:r>
      <w:r>
        <w:rPr>
          <w:rFonts w:ascii="Arial" w:hAnsi="Arial"/>
          <w:b w:val="0"/>
          <w:i w:val="0"/>
          <w:color w:val="000000"/>
          <w:sz w:val="22"/>
        </w:rPr>
        <w:t>: from cBioPortal, 288 tumors. LUAD mutations: from cBioPortal, 492 samples (61 EGFR, 120 KRAS, 311 WT).</w:t>
      </w:r>
    </w:p>
    <w:p>
      <w:pPr>
        <w:spacing w:line="276" w:lineRule="auto" w:after="80"/>
        <w:ind w:firstLine="0"/>
      </w:pPr>
      <w:r>
        <w:rPr>
          <w:rFonts w:ascii="Arial" w:hAnsi="Arial"/>
          <w:b w:val="0"/>
          <w:i w:val="0"/>
          <w:color w:val="000000"/>
          <w:sz w:val="22"/>
        </w:rPr>
        <w:t xml:space="preserve">Human brain atlas </w:t>
      </w:r>
      <w:r>
        <w:rPr>
          <w:rFonts w:ascii="Arial" w:hAnsi="Arial"/>
          <w:b w:val="0"/>
          <w:i w:val="0"/>
          <w:color w:val="000000"/>
          <w:sz w:val="22"/>
          <w:vertAlign w:val="superscript"/>
        </w:rPr>
        <w:t>12</w:t>
      </w:r>
      <w:r>
        <w:rPr>
          <w:rFonts w:ascii="Arial" w:hAnsi="Arial"/>
          <w:b w:val="0"/>
          <w:i w:val="0"/>
          <w:color w:val="000000"/>
          <w:sz w:val="22"/>
        </w:rPr>
        <w:t xml:space="preserve">: Siletti et al. (2023) single-nucleus RNA-seq (v3.11) from CZ CELLxGENE Discover </w:t>
      </w:r>
      <w:r>
        <w:rPr>
          <w:rFonts w:ascii="Arial" w:hAnsi="Arial"/>
          <w:b w:val="0"/>
          <w:i w:val="0"/>
          <w:color w:val="000000"/>
          <w:sz w:val="22"/>
          <w:vertAlign w:val="superscript"/>
        </w:rPr>
        <w:t>47</w:t>
      </w:r>
      <w:r>
        <w:rPr>
          <w:rFonts w:ascii="Arial" w:hAnsi="Arial"/>
          <w:b w:val="0"/>
          <w:i w:val="0"/>
          <w:color w:val="000000"/>
          <w:sz w:val="22"/>
        </w:rPr>
        <w:t xml:space="preserve">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Statistics and reproducibility),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Supplementary Note 12).</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Supplementary Note 1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 xml:space="preserve">To test ω on a real perturbation with known ground truth, we re-analyzed the droplet arm of Kang et al. </w:t>
      </w:r>
      <w:r>
        <w:rPr>
          <w:rFonts w:ascii="Arial" w:hAnsi="Arial"/>
          <w:b w:val="0"/>
          <w:i w:val="0"/>
          <w:color w:val="000000"/>
          <w:sz w:val="22"/>
          <w:vertAlign w:val="superscript"/>
        </w:rPr>
        <w:t>14</w:t>
      </w:r>
      <w:r>
        <w:rPr>
          <w:rFonts w:ascii="Arial" w:hAnsi="Arial"/>
          <w:b w:val="0"/>
          <w:i w:val="0"/>
          <w:color w:val="000000"/>
          <w:sz w:val="22"/>
        </w:rPr>
        <w:t xml:space="preserve">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Supplementary Note 6):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Neutral-drift calibration on technical replicates</w:t>
      </w:r>
    </w:p>
    <w:p>
      <w:pPr>
        <w:spacing w:line="276" w:lineRule="auto" w:after="80"/>
        <w:ind w:firstLine="0"/>
      </w:pPr>
      <w:r>
        <w:rPr>
          <w:rFonts w:ascii="Arial" w:hAnsi="Arial"/>
          <w:b w:val="0"/>
          <w:i w:val="0"/>
          <w:color w:val="000000"/>
          <w:sz w:val="22"/>
        </w:rPr>
        <w:t xml:space="preserve">To test the neutral-drift specificity property on real data with a ground truth of no functional difference, we constructed technical-replicate pairs and calibrated every metric against a per-pair size-matched (n-matched) cell-shuffle null: the nuclei of the two groups being compared are pooled, randomly permuted, and re-split into disjoint subsets of exactly the observed group sizes (n_a, n_b), so each observed pair is compared against a null distribution that matches its donor, cell type, and group sizes while containing no group structure; B = 200 permutations per pair (Kang) or 100/30/30 for brain tiers T1/T2/T3; at B = 30 the per-pair exceedance indicator resolves to 1/31, so the T2/T3 tier rates carry Monte-Carlo noise of a few percentage points and are read as tier-level, not per-pair, calibrations. Calibration is reported as the ratio observed / null median, and the false-positive element as observed &gt; own null 95th percentile. Kang batch 1 </w:t>
      </w:r>
      <w:r>
        <w:rPr>
          <w:rFonts w:ascii="Arial" w:hAnsi="Arial"/>
          <w:b w:val="0"/>
          <w:i w:val="0"/>
          <w:color w:val="000000"/>
          <w:sz w:val="22"/>
          <w:vertAlign w:val="superscript"/>
        </w:rPr>
        <w:t>14</w:t>
      </w:r>
      <w:r>
        <w:rPr>
          <w:rFonts w:ascii="Arial" w:hAnsi="Arial"/>
          <w:b w:val="0"/>
          <w:i w:val="0"/>
          <w:color w:val="000000"/>
          <w:sz w:val="22"/>
        </w:rPr>
        <w:t xml:space="preserve">: unstimulated PBMCs from eight donors captured across three 10x lanes (lanes A and B hold four donors each, lane C holds all eight, so every donor appears in exactly two lanes); singlets with annotated cell types and at least 50 cells in both lanes of a donor yielded 30 same-donor, same-condition cross-lane pairs across six cell types, evaluated with the per-pair top-200 scheme on k_n (HRT Atlas HK genes </w:t>
      </w:r>
      <w:r>
        <w:rPr>
          <w:rFonts w:ascii="Arial" w:hAnsi="Arial"/>
          <w:b w:val="0"/>
          <w:i w:val="0"/>
          <w:color w:val="000000"/>
          <w:sz w:val="22"/>
          <w:vertAlign w:val="superscript"/>
        </w:rPr>
        <w:t>13</w:t>
      </w:r>
      <w:r>
        <w:rPr>
          <w:rFonts w:ascii="Arial" w:hAnsi="Arial"/>
          <w:b w:val="0"/>
          <w:i w:val="0"/>
          <w:color w:val="000000"/>
          <w:sz w:val="22"/>
        </w:rPr>
        <w:t xml:space="preserve">), k_f, ω, raw JS, and cosine distance. Brain drift ladder </w:t>
      </w:r>
      <w:r>
        <w:rPr>
          <w:rFonts w:ascii="Arial" w:hAnsi="Arial"/>
          <w:b w:val="0"/>
          <w:i w:val="0"/>
          <w:color w:val="000000"/>
          <w:sz w:val="22"/>
          <w:vertAlign w:val="superscript"/>
        </w:rPr>
        <w:t>12</w:t>
      </w:r>
      <w:r>
        <w:rPr>
          <w:rFonts w:ascii="Arial" w:hAnsi="Arial"/>
          <w:b w:val="0"/>
          <w:i w:val="0"/>
          <w:color w:val="000000"/>
          <w:sz w:val="22"/>
        </w:rPr>
        <w:t>: from the 888,263 non-neuronal nuclei and 606 10x libraries, 2,732 (cell class, library) groups with at least 20 nuclei defined library-level pairs in three tiers—T1, same (donor, region) different libraries, all 2,161 pairs; T2, same region different donors, 1,089 pairs (random subsample capped at 200 per cell class); T3, same donor different regions, 1,656 pairs (same cap; the cap makes the cell-class composition of T2/T3 availability-dependent, so cross-tier comparisons mix class composition with drift tier—per-class values are reported in Section 3.12 of the Supplementary Information)—evaluated with the brain pipeline (HK genes plus top-5,000 non-HK genes by mean expression; per-pair top-200 selection) for seven metrics: k_n, k_f, ω, raw JS, cosine distance, Spearman distance (1 − ρ), and a pairwise marker Jaccard distance defined as 1 minus the Jaccard index of each group’s top-200 markers (genes ranked by pseudobulk expression minus the cell-weighted background of all other cell classes in the same reduced gene set). Random seeds: 20260918 (Kang), 42 (brain). Scripts: notebooks/nc49_pilot_kang_techrep.py, notebooks/nc49_brain_drift_ladder.py; outputs: results/nc49_pilot_kang_techrep.csv, results/nc49_brain_drift_ladder.csv, and figure notebook nc49_fig_drift_ladder.py (companion repository). Section 3.12 of the Supplementary Information reports the full audit of design, diagnostics, and per-class results.</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Supplementary Note 7 and the results/fixed_panel_ablation_* files of the companion repository.</w:t>
      </w:r>
    </w:p>
    <w:p>
      <w:pPr>
        <w:pStyle w:val="Heading2"/>
        <w:spacing w:before="420" w:after="160"/>
      </w:pPr>
      <w:r>
        <w:rPr>
          <w:rFonts w:ascii="Arial" w:hAnsi="Arial"/>
          <w:color w:val="000000"/>
          <w:sz w:val="24"/>
          <w:b/>
        </w:rPr>
        <w:t>Per-sample divergence and group statistics (TCGA)</w:t>
      </w:r>
    </w:p>
    <w:p>
      <w:pPr>
        <w:spacing w:line="276" w:lineRule="auto" w:after="80"/>
        <w:ind w:firstLine="0"/>
      </w:pPr>
      <w:r>
        <w:rPr>
          <w:rFonts w:ascii="Arial" w:hAnsi="Arial"/>
          <w:b w:val="0"/>
          <w:i w:val="0"/>
          <w:color w:val="000000"/>
          <w:sz w:val="22"/>
        </w:rPr>
        <w:t>Per-tumor statistics were derived from the linear-normalization pair table (35,306 pairs: 2,000 TT pairs per cancer type drawn by seeded subsampling, complete NN pairs, and 2,000 TN pairs per cancer type; sample-labelled; the seeded subsampling carries a Monte-Carlo error of roughly 0.01–0.02 ratio units on the NN/TT mean ratio, below the between-cancer differences reported), as the mean of ω, k_f, and k_n over all pairs in which a given sample participates (median 4–11 pairs per tumor across cancer types). Group-level NN/TT and k_n ratios are reported as ratios of means with 95% confidence intervals from a sample-level cluster bootstrap (B = 1,000; seed 42): tumor and normal samples were resampled with replacement independently, each pair reweighted by the product of its endpoint resampling weights, and the ratio recomputed per resample. LUAD driver groups were assigned by matching cBioPortal mutation labels to the expression matrix by 15-character TCGA barcode (75 EGFR-labelled and 161 KRAS-labelled aliquots, of which 62 EGFR and 122 KRAS matched the matrix; 2 double mutants excluded), yielding 61 EGFR, 120 KRAS, and 311 wild-type tumors with pair coverage. Between-group differences were tested with Kruskal-Wallis followed by Dunn post-hoc tests with Holm correction (manual implementation, tie-corrected rank variances); group mean differences are reported with within-group bootstrap 95% CIs (B = 1,000). For covariate adjustment, stromal and immune admixture was scored per sample with the official ESTIMATE gene sets (141 stromal and 141 immune genes) using the rank-based single-sample enrichment algorithm over all 45,504 expressed genes of the five-cancer merged matrix; the combined stromal-plus-immune score served as the admixture covariate (it is monotonically equivalent to published ESTIMATE purity, leaving regression-based adjustment invariant). Smoking status (ever/never, TCGA tobacco-smoking-history indicator), age, sex, and pack-years for LUAD were obtained from cBioPortal (study luad_tcga, patient-level clinical data; smoking status available for 508, pack-years for 356, and sex for 522 patients) and merged by patient barcode (427 of 492 tumors with known smoking status, 87%). LUAD group contrasts were re-estimated by OLS with the admixture score as a covariate (metric ~ group + z-scored admixture), with ever-smoker status as a covariate, and in a combined model including both (with an age- and sex-adjusted variant); pack-years were not modeled owing to high missingness and are reported descriptively. The LIHC survival analysis used Cox proportional-hazards regression (statsmodels PHReg) with per-tumor ω standardized to unit SD (hazard ratios per SD), adjusted for AJCC stage (I–IV), Edmondson grade (G1–G4), age, and sex, with listwise deletion of missing covariates; k_f-only, k_n-only, and tumor–normal-ω exposures were run as sensitivity models. Scripts: notebooks/nc49_tcga_main.py, notebooks/nc49_pilot_lihc_cox.py, notebooks/nc49_tcga_purity.py, notebooks/nc49_tcga_luad_smoking.py; outputs: results/nc49_tcga_pancancer.csv, results/nc49_tcga_luad_mutation.csv, results/nc49_pilot_lihc_cox.csv, results/nc49_tcga_purity.csv, results/nc49_tcga_admix_scores.csv, results/nc49_tcga_luad_smoking.csv.</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 xml:space="preserve">In supplementary within-cancer-type stratification analyses, we computed intratumoral ω for samples within each clinical stratum using the hybrid scheme. BRCA PAM50 subtype calls </w:t>
      </w:r>
      <w:r>
        <w:rPr>
          <w:rFonts w:ascii="Arial" w:hAnsi="Arial"/>
          <w:b w:val="0"/>
          <w:i w:val="0"/>
          <w:color w:val="000000"/>
          <w:sz w:val="22"/>
          <w:vertAlign w:val="superscript"/>
        </w:rPr>
        <w:t>51,52</w:t>
      </w:r>
      <w:r>
        <w:rPr>
          <w:rFonts w:ascii="Arial" w:hAnsi="Arial"/>
          <w:b w:val="0"/>
          <w:i w:val="0"/>
          <w:color w:val="000000"/>
          <w:sz w:val="22"/>
        </w:rPr>
        <w:t xml:space="preserve">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w:t>
      </w:r>
      <w:r>
        <w:rPr>
          <w:rFonts w:ascii="Arial" w:hAnsi="Arial"/>
          <w:b w:val="0"/>
          <w:i w:val="0"/>
          <w:color w:val="000000"/>
          <w:sz w:val="22"/>
          <w:vertAlign w:val="superscript"/>
        </w:rPr>
        <w:t>53</w:t>
      </w:r>
      <w:r>
        <w:rPr>
          <w:rFonts w:ascii="Arial" w:hAnsi="Arial"/>
          <w:b w:val="0"/>
          <w:i w:val="0"/>
          <w:color w:val="000000"/>
          <w:sz w:val="22"/>
        </w:rPr>
        <w:t xml:space="preserve">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Supplementary Note 9).</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 xml:space="preserve">Typical runtime for a single cell-type pair is under 5 minutes on a standard laptop; the full brain analysis (31,764 pairs) required approximately 72 core-hours on a Windows x64 workstation with at least 32 GB RAM (the verified environment of the Reproducibility Guide, Section 1.1 of the Supplementary Information). All analyses were performed in Python 3.14.4 with scanpy 1.12.1 </w:t>
      </w:r>
      <w:r>
        <w:rPr>
          <w:rFonts w:ascii="Arial" w:hAnsi="Arial"/>
          <w:b w:val="0"/>
          <w:i w:val="0"/>
          <w:color w:val="000000"/>
          <w:sz w:val="22"/>
          <w:vertAlign w:val="superscript"/>
        </w:rPr>
        <w:t>44</w:t>
      </w:r>
      <w:r>
        <w:rPr>
          <w:rFonts w:ascii="Arial" w:hAnsi="Arial"/>
          <w:b w:val="0"/>
          <w:i w:val="0"/>
          <w:color w:val="000000"/>
          <w:sz w:val="22"/>
        </w:rPr>
        <w:t xml:space="preserve">, scipy ≥ 1.10.0, numpy ≥ 1.23.0, pandas ≥ 1.5.0, matplotlib ≥ 3.6.0, seaborn </w:t>
      </w:r>
      <w:r>
        <w:rPr>
          <w:rFonts w:ascii="Arial" w:hAnsi="Arial"/>
          <w:b w:val="0"/>
          <w:i w:val="0"/>
          <w:color w:val="000000"/>
          <w:sz w:val="22"/>
          <w:vertAlign w:val="superscript"/>
        </w:rPr>
        <w:t>54</w:t>
      </w:r>
      <w:r>
        <w:rPr>
          <w:rFonts w:ascii="Arial" w:hAnsi="Arial"/>
          <w:b w:val="0"/>
          <w:i w:val="0"/>
          <w:color w:val="000000"/>
          <w:sz w:val="22"/>
        </w:rPr>
        <w:t xml:space="preserve"> ≥ 0.12.0, and scikit-learn </w:t>
      </w:r>
      <w:r>
        <w:rPr>
          <w:rFonts w:ascii="Arial" w:hAnsi="Arial"/>
          <w:b w:val="0"/>
          <w:i w:val="0"/>
          <w:color w:val="000000"/>
          <w:sz w:val="22"/>
          <w:vertAlign w:val="superscript"/>
        </w:rPr>
        <w:t>55</w:t>
      </w:r>
      <w:r>
        <w:rPr>
          <w:rFonts w:ascii="Arial" w:hAnsi="Arial"/>
          <w:b w:val="0"/>
          <w:i w:val="0"/>
          <w:color w:val="000000"/>
          <w:sz w:val="22"/>
        </w:rPr>
        <w:t xml:space="preserve"> ≥ 1.2.0; random seeds were fixed at 42 throughout, except scripts 77/78/79, which used seed 20260903.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Statistics and reproducibility</w:t>
      </w:r>
    </w:p>
    <w:p>
      <w:pPr>
        <w:spacing w:line="276" w:lineRule="auto" w:after="80"/>
        <w:ind w:firstLine="0"/>
      </w:pPr>
      <w:r>
        <w:rPr>
          <w:rFonts w:ascii="Arial" w:hAnsi="Arial"/>
          <w:b w:val="0"/>
          <w:i w:val="0"/>
          <w:color w:val="000000"/>
          <w:sz w:val="22"/>
        </w:rPr>
        <w:t xml:space="preserve">We report summary statistics as mean ± s.d. (range) or median [IQR] as noted. Resampling-based inference </w:t>
      </w:r>
      <w:r>
        <w:rPr>
          <w:rFonts w:ascii="Arial" w:hAnsi="Arial"/>
          <w:b w:val="0"/>
          <w:i w:val="0"/>
          <w:color w:val="000000"/>
          <w:sz w:val="22"/>
          <w:vertAlign w:val="superscript"/>
        </w:rPr>
        <w:t>56</w:t>
      </w:r>
      <w:r>
        <w:rPr>
          <w:rFonts w:ascii="Arial" w:hAnsi="Arial"/>
          <w:b w:val="0"/>
          <w:i w:val="0"/>
          <w:color w:val="000000"/>
          <w:sz w:val="22"/>
        </w:rPr>
        <w:t xml:space="preserve">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w:t>
      </w:r>
      <w:r>
        <w:rPr>
          <w:rFonts w:ascii="Arial" w:hAnsi="Arial"/>
          <w:b w:val="0"/>
          <w:i w:val="0"/>
          <w:color w:val="000000"/>
          <w:sz w:val="22"/>
          <w:vertAlign w:val="superscript"/>
        </w:rPr>
        <w:t>43</w:t>
      </w:r>
      <w:r>
        <w:rPr>
          <w:rFonts w:ascii="Arial" w:hAnsi="Arial"/>
          <w:b w:val="0"/>
          <w:i w:val="0"/>
          <w:color w:val="000000"/>
          <w:sz w:val="22"/>
        </w:rPr>
        <w:t xml:space="preserve">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(Supplementary Note 3; notebooks/81_perclass_uncertainty.py).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B = 10,000 resamples.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TCGA data: NCI Genomic Data Commons (https://portal.gdc.cancer.gov/). HRT Atlas (optional human/mouse housekeeping-gene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MSigDB Hallmark gene sets (Liberzon et al. 2015; see References): accessed via the Enrichr gene-set library (MSigDB_Hallmark_2020; local mirror data/tcga/hallmark_2020.gmt in the companion repository).</w:t>
      </w:r>
    </w:p>
    <w:p>
      <w:pPr>
        <w:pStyle w:val="Heading1"/>
        <w:spacing w:before="420" w:after="160"/>
      </w:pPr>
      <w:r>
        <w:rPr>
          <w:rFonts w:ascii="Arial" w:hAnsi="Arial"/>
          <w:color w:val="000000"/>
          <w:sz w:val="28"/>
          <w:b/>
        </w:rPr>
        <w:t>Code availability</w:t>
      </w:r>
    </w:p>
    <w:p>
      <w:pPr>
        <w:spacing w:line="276" w:lineRule="auto" w:after="80"/>
        <w:ind w:firstLine="0"/>
      </w:pPr>
      <w:r>
        <w:rPr>
          <w:rFonts w:ascii="Arial" w:hAnsi="Arial"/>
          <w:b w:val="0"/>
          <w:i w:val="0"/>
          <w:color w:val="000000"/>
          <w:sz w:val="22"/>
        </w:rPr>
        <w:t>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1"/>
        <w:spacing w:before="420" w:after="160"/>
      </w:pPr>
      <w:r>
        <w:rPr>
          <w:rFonts w:ascii="Arial" w:hAnsi="Arial"/>
          <w:color w:val="000000"/>
          <w:sz w:val="28"/>
          <w:b/>
        </w:rPr>
        <w:t>References</w:t>
      </w:r>
    </w:p>
    <w:p>
      <w:pPr>
        <w:spacing w:line="276" w:lineRule="auto" w:after="60"/>
      </w:pPr>
      <w:r>
        <w:rPr>
          <w:rFonts w:ascii="Arial" w:hAnsi="Arial"/>
          <w:b w:val="0"/>
          <w:i w:val="0"/>
          <w:color w:val="000000"/>
          <w:sz w:val="20"/>
        </w:rPr>
        <w:t xml:space="preserve">1. Regev, A. et al. The Human Cell Atlas.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e27041 (2017).</w:t>
      </w:r>
    </w:p>
    <w:p>
      <w:pPr>
        <w:spacing w:line="276" w:lineRule="auto" w:after="60"/>
      </w:pPr>
      <w:r>
        <w:rPr>
          <w:rFonts w:ascii="Arial" w:hAnsi="Arial"/>
          <w:b w:val="0"/>
          <w:i w:val="0"/>
          <w:color w:val="000000"/>
          <w:sz w:val="20"/>
        </w:rPr>
        <w:t xml:space="preserve">2. Korsunsky, I. et al. Fast, sensitive and accurate integration of single-cell data with Harmony.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16,</w:t>
      </w:r>
      <w:r>
        <w:rPr>
          <w:rFonts w:ascii="Arial" w:hAnsi="Arial"/>
          <w:b w:val="0"/>
          <w:i w:val="0"/>
          <w:color w:val="000000"/>
          <w:sz w:val="20"/>
        </w:rPr>
        <w:t xml:space="preserve"> 1289–1296 (2019).</w:t>
      </w:r>
    </w:p>
    <w:p>
      <w:pPr>
        <w:spacing w:line="276" w:lineRule="auto" w:after="60"/>
      </w:pPr>
      <w:r>
        <w:rPr>
          <w:rFonts w:ascii="Arial" w:hAnsi="Arial"/>
          <w:b w:val="0"/>
          <w:i w:val="0"/>
          <w:color w:val="000000"/>
          <w:sz w:val="20"/>
        </w:rPr>
        <w:t xml:space="preserve">3. Lopez, R., Regier, J., Cole, M. B., Jordan, M. I. &amp; Yosef, N. Deep generative modeling for single-cell transcriptomics.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1053–1058 (2018).</w:t>
      </w:r>
    </w:p>
    <w:p>
      <w:pPr>
        <w:spacing w:line="276" w:lineRule="auto" w:after="60"/>
      </w:pPr>
      <w:r>
        <w:rPr>
          <w:rFonts w:ascii="Arial" w:hAnsi="Arial"/>
          <w:b w:val="0"/>
          <w:i w:val="0"/>
          <w:color w:val="000000"/>
          <w:sz w:val="20"/>
        </w:rPr>
        <w:t xml:space="preserve">4. Rosen, Y. et al. Toward universal cell embeddings: integrating single-cell RNA-seq datasets across species with SATURN.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1492–1500 (2024).</w:t>
      </w:r>
    </w:p>
    <w:p>
      <w:pPr>
        <w:spacing w:line="276" w:lineRule="auto" w:after="60"/>
      </w:pPr>
      <w:r>
        <w:rPr>
          <w:rFonts w:ascii="Arial" w:hAnsi="Arial"/>
          <w:b w:val="0"/>
          <w:i w:val="0"/>
          <w:color w:val="000000"/>
          <w:sz w:val="20"/>
        </w:rPr>
        <w:t xml:space="preserve">5. Tran, H. T. N. et al. A benchmark of batch-effect correction methods for single-cell RNA sequencing data.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12 (2020).</w:t>
      </w:r>
    </w:p>
    <w:p>
      <w:pPr>
        <w:spacing w:line="276" w:lineRule="auto" w:after="60"/>
      </w:pPr>
      <w:r>
        <w:rPr>
          <w:rFonts w:ascii="Arial" w:hAnsi="Arial"/>
          <w:b w:val="0"/>
          <w:i w:val="0"/>
          <w:color w:val="000000"/>
          <w:sz w:val="20"/>
        </w:rPr>
        <w:t xml:space="preserve">6. Nei, M. &amp; Gojobori, T. Simple methods for estimating the numbers of synonymous and nonsynonymous nucleotide substitutions.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418–426 (1986).</w:t>
      </w:r>
    </w:p>
    <w:p>
      <w:pPr>
        <w:spacing w:line="276" w:lineRule="auto" w:after="60"/>
      </w:pPr>
      <w:r>
        <w:rPr>
          <w:rFonts w:ascii="Arial" w:hAnsi="Arial"/>
          <w:b w:val="0"/>
          <w:i w:val="0"/>
          <w:color w:val="000000"/>
          <w:sz w:val="20"/>
        </w:rPr>
        <w:t xml:space="preserve">7. Yang, Z. PAML 4: phylogenetic analysis by maximum likelihood.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24,</w:t>
      </w:r>
      <w:r>
        <w:rPr>
          <w:rFonts w:ascii="Arial" w:hAnsi="Arial"/>
          <w:b w:val="0"/>
          <w:i w:val="0"/>
          <w:color w:val="000000"/>
          <w:sz w:val="20"/>
        </w:rPr>
        <w:t xml:space="preserve"> 1586–1591 (2007).</w:t>
      </w:r>
    </w:p>
    <w:p>
      <w:pPr>
        <w:spacing w:line="276" w:lineRule="auto" w:after="60"/>
      </w:pPr>
      <w:r>
        <w:rPr>
          <w:rFonts w:ascii="Arial" w:hAnsi="Arial"/>
          <w:b w:val="0"/>
          <w:i w:val="0"/>
          <w:color w:val="000000"/>
          <w:sz w:val="20"/>
        </w:rPr>
        <w:t xml:space="preserve">8. Tabula Muris Consortium. Single-cell transcriptomics of 20 mouse organs creates a Tabula Muris.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562,</w:t>
      </w:r>
      <w:r>
        <w:rPr>
          <w:rFonts w:ascii="Arial" w:hAnsi="Arial"/>
          <w:b w:val="0"/>
          <w:i w:val="0"/>
          <w:color w:val="000000"/>
          <w:sz w:val="20"/>
        </w:rPr>
        <w:t xml:space="preserve"> 367–372 (2018).</w:t>
      </w:r>
    </w:p>
    <w:p>
      <w:pPr>
        <w:spacing w:line="276" w:lineRule="auto" w:after="60"/>
      </w:pPr>
      <w:r>
        <w:rPr>
          <w:rFonts w:ascii="Arial" w:hAnsi="Arial"/>
          <w:b w:val="0"/>
          <w:i w:val="0"/>
          <w:color w:val="000000"/>
          <w:sz w:val="20"/>
        </w:rPr>
        <w:t xml:space="preserve">9. Tabula Sapiens Consortium. The Tabula Sapiens: a multiple-organ, single-cell transcriptomic atlas of humans.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376,</w:t>
      </w:r>
      <w:r>
        <w:rPr>
          <w:rFonts w:ascii="Arial" w:hAnsi="Arial"/>
          <w:b w:val="0"/>
          <w:i w:val="0"/>
          <w:color w:val="000000"/>
          <w:sz w:val="20"/>
        </w:rPr>
        <w:t xml:space="preserve"> eabl4896 (2022).</w:t>
      </w:r>
    </w:p>
    <w:p>
      <w:pPr>
        <w:spacing w:line="276" w:lineRule="auto" w:after="60"/>
      </w:pPr>
      <w:r>
        <w:rPr>
          <w:rFonts w:ascii="Arial" w:hAnsi="Arial"/>
          <w:b w:val="0"/>
          <w:i w:val="0"/>
          <w:color w:val="000000"/>
          <w:sz w:val="20"/>
        </w:rPr>
        <w:t xml:space="preserve">10. Cancer Genome Atlas Research Network. Comprehensive molecular profiling of lung adenocarcinoma.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511,</w:t>
      </w:r>
      <w:r>
        <w:rPr>
          <w:rFonts w:ascii="Arial" w:hAnsi="Arial"/>
          <w:b w:val="0"/>
          <w:i w:val="0"/>
          <w:color w:val="000000"/>
          <w:sz w:val="20"/>
        </w:rPr>
        <w:t xml:space="preserve"> 543–550 (2014).</w:t>
      </w:r>
    </w:p>
    <w:p>
      <w:pPr>
        <w:spacing w:line="276" w:lineRule="auto" w:after="60"/>
      </w:pPr>
      <w:r>
        <w:rPr>
          <w:rFonts w:ascii="Arial" w:hAnsi="Arial"/>
          <w:b w:val="0"/>
          <w:i w:val="0"/>
          <w:color w:val="000000"/>
          <w:sz w:val="20"/>
        </w:rPr>
        <w:t xml:space="preserve">11. Cancer Genome Atlas Network. Comprehensive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490,</w:t>
      </w:r>
      <w:r>
        <w:rPr>
          <w:rFonts w:ascii="Arial" w:hAnsi="Arial"/>
          <w:b w:val="0"/>
          <w:i w:val="0"/>
          <w:color w:val="000000"/>
          <w:sz w:val="20"/>
        </w:rPr>
        <w:t xml:space="preserve"> 61–70 (2012).</w:t>
      </w:r>
    </w:p>
    <w:p>
      <w:pPr>
        <w:spacing w:line="276" w:lineRule="auto" w:after="60"/>
      </w:pPr>
      <w:r>
        <w:rPr>
          <w:rFonts w:ascii="Arial" w:hAnsi="Arial"/>
          <w:b w:val="0"/>
          <w:i w:val="0"/>
          <w:color w:val="000000"/>
          <w:sz w:val="20"/>
        </w:rPr>
        <w:t xml:space="preserve">12. Siletti, K. et al. Transcriptomic diversity of cell types across the adult human brain.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382,</w:t>
      </w:r>
      <w:r>
        <w:rPr>
          <w:rFonts w:ascii="Arial" w:hAnsi="Arial"/>
          <w:b w:val="0"/>
          <w:i w:val="0"/>
          <w:color w:val="000000"/>
          <w:sz w:val="20"/>
        </w:rPr>
        <w:t xml:space="preserve"> eadd7046 (2023).</w:t>
      </w:r>
    </w:p>
    <w:p>
      <w:pPr>
        <w:spacing w:line="276" w:lineRule="auto" w:after="60"/>
      </w:pPr>
      <w:r>
        <w:rPr>
          <w:rFonts w:ascii="Arial" w:hAnsi="Arial"/>
          <w:b w:val="0"/>
          <w:i w:val="0"/>
          <w:color w:val="000000"/>
          <w:sz w:val="20"/>
        </w:rPr>
        <w:t xml:space="preserve">13. Hounkpe, B. W., Chenou, F., de Lima, F. &amp; De Paula, E. V. HRT Atlas v1.0 database: redefining human and mouse housekeeping genes and candidate reference transcripts by mining massive RNA-seq datasets.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49,</w:t>
      </w:r>
      <w:r>
        <w:rPr>
          <w:rFonts w:ascii="Arial" w:hAnsi="Arial"/>
          <w:b w:val="0"/>
          <w:i w:val="0"/>
          <w:color w:val="000000"/>
          <w:sz w:val="20"/>
        </w:rPr>
        <w:t xml:space="preserve"> D947–D955 (2021).</w:t>
      </w:r>
    </w:p>
    <w:p>
      <w:pPr>
        <w:spacing w:line="276" w:lineRule="auto" w:after="60"/>
      </w:pPr>
      <w:r>
        <w:rPr>
          <w:rFonts w:ascii="Arial" w:hAnsi="Arial"/>
          <w:b w:val="0"/>
          <w:i w:val="0"/>
          <w:color w:val="000000"/>
          <w:sz w:val="20"/>
        </w:rPr>
        <w:t xml:space="preserve">14. Kang, H. M. et al. Multiplexed droplet single-cell RNA-sequencing using natural genetic variation.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36,</w:t>
      </w:r>
      <w:r>
        <w:rPr>
          <w:rFonts w:ascii="Arial" w:hAnsi="Arial"/>
          <w:b w:val="0"/>
          <w:i w:val="0"/>
          <w:color w:val="000000"/>
          <w:sz w:val="20"/>
        </w:rPr>
        <w:t xml:space="preserve"> 89–94 (2018).</w:t>
      </w:r>
    </w:p>
    <w:p>
      <w:pPr>
        <w:spacing w:line="276" w:lineRule="auto" w:after="60"/>
      </w:pPr>
      <w:r>
        <w:rPr>
          <w:rFonts w:ascii="Arial" w:hAnsi="Arial"/>
          <w:b w:val="0"/>
          <w:i w:val="0"/>
          <w:color w:val="000000"/>
          <w:sz w:val="20"/>
        </w:rPr>
        <w:t xml:space="preserve">15. Liberzon, A. et al. The Molecular Signatures Database Hallmark Gene Set Collection. </w:t>
      </w:r>
      <w:r>
        <w:rPr>
          <w:rFonts w:ascii="Arial" w:hAnsi="Arial"/>
          <w:b w:val="0"/>
          <w:i/>
          <w:color w:val="000000"/>
          <w:sz w:val="20"/>
        </w:rPr>
        <w:t>Cell Syst.</w:t>
      </w:r>
      <w:r>
        <w:rPr>
          <w:rFonts w:ascii="Arial" w:hAnsi="Arial"/>
          <w:b w:val="0"/>
          <w:i w:val="0"/>
          <w:color w:val="000000"/>
          <w:sz w:val="20"/>
        </w:rPr>
        <w:t xml:space="preserve"> </w:t>
      </w:r>
      <w:r>
        <w:rPr>
          <w:rFonts w:ascii="Arial" w:hAnsi="Arial"/>
          <w:b/>
          <w:i w:val="0"/>
          <w:color w:val="000000"/>
          <w:sz w:val="20"/>
        </w:rPr>
        <w:t>1,</w:t>
      </w:r>
      <w:r>
        <w:rPr>
          <w:rFonts w:ascii="Arial" w:hAnsi="Arial"/>
          <w:b w:val="0"/>
          <w:i w:val="0"/>
          <w:color w:val="000000"/>
          <w:sz w:val="20"/>
        </w:rPr>
        <w:t xml:space="preserve"> 417–425 (2015).</w:t>
      </w:r>
    </w:p>
    <w:p>
      <w:pPr>
        <w:spacing w:line="276" w:lineRule="auto" w:after="60"/>
      </w:pPr>
      <w:r>
        <w:rPr>
          <w:rFonts w:ascii="Arial" w:hAnsi="Arial"/>
          <w:b w:val="0"/>
          <w:i w:val="0"/>
          <w:color w:val="000000"/>
          <w:sz w:val="20"/>
        </w:rPr>
        <w:t xml:space="preserve">16. Wälchli, T. et al. Single-cell atlas of the human brain vasculature across development, adulthood and disease.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632,</w:t>
      </w:r>
      <w:r>
        <w:rPr>
          <w:rFonts w:ascii="Arial" w:hAnsi="Arial"/>
          <w:b w:val="0"/>
          <w:i w:val="0"/>
          <w:color w:val="000000"/>
          <w:sz w:val="20"/>
        </w:rPr>
        <w:t xml:space="preserve"> 603–613 (2024).</w:t>
      </w:r>
    </w:p>
    <w:p>
      <w:pPr>
        <w:spacing w:line="276" w:lineRule="auto" w:after="60"/>
      </w:pPr>
      <w:r>
        <w:rPr>
          <w:rFonts w:ascii="Arial" w:hAnsi="Arial"/>
          <w:b w:val="0"/>
          <w:i w:val="0"/>
          <w:color w:val="000000"/>
          <w:sz w:val="20"/>
        </w:rPr>
        <w:t xml:space="preserve">17. Pfau, S. J. et al. Characteristics of blood-brain barrier heterogeneity between brain regions revealed by profiling vascular and perivascular cells.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1892–1903 (2024).</w:t>
      </w:r>
    </w:p>
    <w:p>
      <w:pPr>
        <w:spacing w:line="276" w:lineRule="auto" w:after="60"/>
      </w:pPr>
      <w:r>
        <w:rPr>
          <w:rFonts w:ascii="Arial" w:hAnsi="Arial"/>
          <w:b w:val="0"/>
          <w:i w:val="0"/>
          <w:color w:val="000000"/>
          <w:sz w:val="20"/>
        </w:rPr>
        <w:t xml:space="preserve">18. Jones, H. E. et al. Meningeal origins and dynamics of perivascular fibroblast development on the mouse cerebral vasculature. </w:t>
      </w:r>
      <w:r>
        <w:rPr>
          <w:rFonts w:ascii="Arial" w:hAnsi="Arial"/>
          <w:b w:val="0"/>
          <w:i/>
          <w:color w:val="000000"/>
          <w:sz w:val="20"/>
        </w:rPr>
        <w:t>Development</w:t>
      </w:r>
      <w:r>
        <w:rPr>
          <w:rFonts w:ascii="Arial" w:hAnsi="Arial"/>
          <w:b w:val="0"/>
          <w:i w:val="0"/>
          <w:color w:val="000000"/>
          <w:sz w:val="20"/>
        </w:rPr>
        <w:t xml:space="preserve"> </w:t>
      </w:r>
      <w:r>
        <w:rPr>
          <w:rFonts w:ascii="Arial" w:hAnsi="Arial"/>
          <w:b/>
          <w:i w:val="0"/>
          <w:color w:val="000000"/>
          <w:sz w:val="20"/>
        </w:rPr>
        <w:t>150,</w:t>
      </w:r>
      <w:r>
        <w:rPr>
          <w:rFonts w:ascii="Arial" w:hAnsi="Arial"/>
          <w:b w:val="0"/>
          <w:i w:val="0"/>
          <w:color w:val="000000"/>
          <w:sz w:val="20"/>
        </w:rPr>
        <w:t xml:space="preserve"> dev201805 (2023).</w:t>
      </w:r>
    </w:p>
    <w:p>
      <w:pPr>
        <w:spacing w:line="276" w:lineRule="auto" w:after="60"/>
      </w:pPr>
      <w:r>
        <w:rPr>
          <w:rFonts w:ascii="Arial" w:hAnsi="Arial"/>
          <w:b w:val="0"/>
          <w:i w:val="0"/>
          <w:color w:val="000000"/>
          <w:sz w:val="20"/>
        </w:rPr>
        <w:t xml:space="preserve">19. Tan, Y. L., Yuan, Y. &amp; Tian, L. Microglial regional heterogeneity and its role in the brain. </w:t>
      </w:r>
      <w:r>
        <w:rPr>
          <w:rFonts w:ascii="Arial" w:hAnsi="Arial"/>
          <w:b w:val="0"/>
          <w:i/>
          <w:color w:val="000000"/>
          <w:sz w:val="20"/>
        </w:rPr>
        <w:t>Mol. Psychiatry</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351–367 (2020).</w:t>
      </w:r>
    </w:p>
    <w:p>
      <w:pPr>
        <w:spacing w:line="276" w:lineRule="auto" w:after="60"/>
      </w:pPr>
      <w:r>
        <w:rPr>
          <w:rFonts w:ascii="Arial" w:hAnsi="Arial"/>
          <w:b w:val="0"/>
          <w:i w:val="0"/>
          <w:color w:val="000000"/>
          <w:sz w:val="20"/>
        </w:rPr>
        <w:t xml:space="preserve">20. Barry-Carroll, L. &amp; Gomez-Nicola, D. The molecular determinants of microglial developmental dynamics. </w:t>
      </w:r>
      <w:r>
        <w:rPr>
          <w:rFonts w:ascii="Arial" w:hAnsi="Arial"/>
          <w:b w:val="0"/>
          <w:i/>
          <w:color w:val="000000"/>
          <w:sz w:val="20"/>
        </w:rPr>
        <w:t>Nat. Rev. Neurosci.</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414–427 (2024).</w:t>
      </w:r>
    </w:p>
    <w:p>
      <w:pPr>
        <w:spacing w:line="276" w:lineRule="auto" w:after="60"/>
      </w:pPr>
      <w:r>
        <w:rPr>
          <w:rFonts w:ascii="Arial" w:hAnsi="Arial"/>
          <w:b w:val="0"/>
          <w:i w:val="0"/>
          <w:color w:val="000000"/>
          <w:sz w:val="20"/>
        </w:rPr>
        <w:t xml:space="preserve">21. Menassa, D. A. et al. The spatiotemporal dynamics of microglia across the human lifespan. </w:t>
      </w:r>
      <w:r>
        <w:rPr>
          <w:rFonts w:ascii="Arial" w:hAnsi="Arial"/>
          <w:b w:val="0"/>
          <w:i/>
          <w:color w:val="000000"/>
          <w:sz w:val="20"/>
        </w:rPr>
        <w:t>Dev. Cell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2127–2139.e6 (2022).</w:t>
      </w:r>
    </w:p>
    <w:p>
      <w:pPr>
        <w:spacing w:line="276" w:lineRule="auto" w:after="60"/>
      </w:pPr>
      <w:r>
        <w:rPr>
          <w:rFonts w:ascii="Arial" w:hAnsi="Arial"/>
          <w:b w:val="0"/>
          <w:i w:val="0"/>
          <w:color w:val="000000"/>
          <w:sz w:val="20"/>
        </w:rPr>
        <w:t xml:space="preserve">22. Barry-Carroll, L. et al. Microglia colonize the developing brain by clonal expansion of highly proliferative progenitors, following allometric scaling. </w:t>
      </w:r>
      <w:r>
        <w:rPr>
          <w:rFonts w:ascii="Arial" w:hAnsi="Arial"/>
          <w:b w:val="0"/>
          <w:i/>
          <w:color w:val="000000"/>
          <w:sz w:val="20"/>
        </w:rPr>
        <w:t>Cell Rep.</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112425 (2023).</w:t>
      </w:r>
    </w:p>
    <w:p>
      <w:pPr>
        <w:spacing w:line="276" w:lineRule="auto" w:after="60"/>
      </w:pPr>
      <w:r>
        <w:rPr>
          <w:rFonts w:ascii="Arial" w:hAnsi="Arial"/>
          <w:b w:val="0"/>
          <w:i w:val="0"/>
          <w:color w:val="000000"/>
          <w:sz w:val="20"/>
        </w:rPr>
        <w:t xml:space="preserve">23. Tsai, H. H. et al. Oligodendrocyte precursors migrate along vasculature in the developing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379–384 (2016).</w:t>
      </w:r>
    </w:p>
    <w:p>
      <w:pPr>
        <w:spacing w:line="276" w:lineRule="auto" w:after="60"/>
      </w:pPr>
      <w:r>
        <w:rPr>
          <w:rFonts w:ascii="Arial" w:hAnsi="Arial"/>
          <w:b w:val="0"/>
          <w:i w:val="0"/>
          <w:color w:val="000000"/>
          <w:sz w:val="20"/>
        </w:rPr>
        <w:t xml:space="preserve">24. Su, Y. et al. Astrocyte endfoot formation controls the termination of oligodendrocyte precursor cell perivascular migration during development.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111,</w:t>
      </w:r>
      <w:r>
        <w:rPr>
          <w:rFonts w:ascii="Arial" w:hAnsi="Arial"/>
          <w:b w:val="0"/>
          <w:i w:val="0"/>
          <w:color w:val="000000"/>
          <w:sz w:val="20"/>
        </w:rPr>
        <w:t xml:space="preserve"> 190–201.e8 (2023).</w:t>
      </w:r>
    </w:p>
    <w:p>
      <w:pPr>
        <w:spacing w:line="276" w:lineRule="auto" w:after="60"/>
      </w:pPr>
      <w:r>
        <w:rPr>
          <w:rFonts w:ascii="Arial" w:hAnsi="Arial"/>
          <w:b w:val="0"/>
          <w:i w:val="0"/>
          <w:color w:val="000000"/>
          <w:sz w:val="20"/>
        </w:rPr>
        <w:t xml:space="preserve">25. Foerster, S. et al. Developmental origin of oligodendrocytes determines their function in the adult brain.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1545–1554 (2024).</w:t>
      </w:r>
    </w:p>
    <w:p>
      <w:pPr>
        <w:spacing w:line="276" w:lineRule="auto" w:after="60"/>
      </w:pPr>
      <w:r>
        <w:rPr>
          <w:rFonts w:ascii="Arial" w:hAnsi="Arial"/>
          <w:b w:val="0"/>
          <w:i w:val="0"/>
          <w:color w:val="000000"/>
          <w:sz w:val="20"/>
        </w:rPr>
        <w:t xml:space="preserve">26. Reeber, S. L., Arancillo, M. &amp; Sillitoe, R. V. Bergmann glia are patterned into topographic molecular zones in the developing and adult mouse cerebellum. </w:t>
      </w:r>
      <w:r>
        <w:rPr>
          <w:rFonts w:ascii="Arial" w:hAnsi="Arial"/>
          <w:b w:val="0"/>
          <w:i/>
          <w:color w:val="000000"/>
          <w:sz w:val="20"/>
        </w:rPr>
        <w:t>Cerebellum</w:t>
      </w:r>
      <w:r>
        <w:rPr>
          <w:rFonts w:ascii="Arial" w:hAnsi="Arial"/>
          <w:b w:val="0"/>
          <w:i w:val="0"/>
          <w:color w:val="000000"/>
          <w:sz w:val="20"/>
        </w:rPr>
        <w:t xml:space="preserve"> </w:t>
      </w:r>
      <w:r>
        <w:rPr>
          <w:rFonts w:ascii="Arial" w:hAnsi="Arial"/>
          <w:b/>
          <w:i w:val="0"/>
          <w:color w:val="000000"/>
          <w:sz w:val="20"/>
        </w:rPr>
        <w:t>17,</w:t>
      </w:r>
      <w:r>
        <w:rPr>
          <w:rFonts w:ascii="Arial" w:hAnsi="Arial"/>
          <w:b w:val="0"/>
          <w:i w:val="0"/>
          <w:color w:val="000000"/>
          <w:sz w:val="20"/>
        </w:rPr>
        <w:t xml:space="preserve"> 392–403 (2018).</w:t>
      </w:r>
    </w:p>
    <w:p>
      <w:pPr>
        <w:spacing w:line="276" w:lineRule="auto" w:after="60"/>
      </w:pPr>
      <w:r>
        <w:rPr>
          <w:rFonts w:ascii="Arial" w:hAnsi="Arial"/>
          <w:b w:val="0"/>
          <w:i w:val="0"/>
          <w:color w:val="000000"/>
          <w:sz w:val="20"/>
        </w:rPr>
        <w:t xml:space="preserve">27. Yang, L. et al. Single-cell multi-omics analysis of lineage development and spatial organization in the human fetal cerebellum. </w:t>
      </w:r>
      <w:r>
        <w:rPr>
          <w:rFonts w:ascii="Arial" w:hAnsi="Arial"/>
          <w:b w:val="0"/>
          <w:i/>
          <w:color w:val="000000"/>
          <w:sz w:val="20"/>
        </w:rPr>
        <w:t>Cell Discov.</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22 (2024).</w:t>
      </w:r>
    </w:p>
    <w:p>
      <w:pPr>
        <w:spacing w:line="276" w:lineRule="auto" w:after="60"/>
      </w:pPr>
      <w:r>
        <w:rPr>
          <w:rFonts w:ascii="Arial" w:hAnsi="Arial"/>
          <w:b w:val="0"/>
          <w:i w:val="0"/>
          <w:color w:val="000000"/>
          <w:sz w:val="20"/>
        </w:rPr>
        <w:t xml:space="preserve">28. Zhang, Y. et al. Astrocyte allocation during brain development is controlled by Tcf4-mediated fate restriction. </w:t>
      </w:r>
      <w:r>
        <w:rPr>
          <w:rFonts w:ascii="Arial" w:hAnsi="Arial"/>
          <w:b w:val="0"/>
          <w:i/>
          <w:color w:val="000000"/>
          <w:sz w:val="20"/>
        </w:rPr>
        <w:t>EMBO J.</w:t>
      </w:r>
      <w:r>
        <w:rPr>
          <w:rFonts w:ascii="Arial" w:hAnsi="Arial"/>
          <w:b w:val="0"/>
          <w:i w:val="0"/>
          <w:color w:val="000000"/>
          <w:sz w:val="20"/>
        </w:rPr>
        <w:t xml:space="preserve"> </w:t>
      </w:r>
      <w:r>
        <w:rPr>
          <w:rFonts w:ascii="Arial" w:hAnsi="Arial"/>
          <w:b/>
          <w:i w:val="0"/>
          <w:color w:val="000000"/>
          <w:sz w:val="20"/>
        </w:rPr>
        <w:t>43,</w:t>
      </w:r>
      <w:r>
        <w:rPr>
          <w:rFonts w:ascii="Arial" w:hAnsi="Arial"/>
          <w:b w:val="0"/>
          <w:i w:val="0"/>
          <w:color w:val="000000"/>
          <w:sz w:val="20"/>
        </w:rPr>
        <w:t xml:space="preserve"> 5114–5140 (2024).</w:t>
      </w:r>
    </w:p>
    <w:p>
      <w:pPr>
        <w:spacing w:line="276" w:lineRule="auto" w:after="60"/>
      </w:pPr>
      <w:r>
        <w:rPr>
          <w:rFonts w:ascii="Arial" w:hAnsi="Arial"/>
          <w:b w:val="0"/>
          <w:i w:val="0"/>
          <w:color w:val="000000"/>
          <w:sz w:val="20"/>
        </w:rPr>
        <w:t xml:space="preserve">29. Vandesompele, J. et al. Accurate normalization of real-time quantitative RT-PCR data by geometric averaging of multiple internal control genes.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RESEARCH0034 (2002).</w:t>
      </w:r>
    </w:p>
    <w:p>
      <w:pPr>
        <w:spacing w:line="276" w:lineRule="auto" w:after="60"/>
      </w:pPr>
      <w:r>
        <w:rPr>
          <w:rFonts w:ascii="Arial" w:hAnsi="Arial"/>
          <w:b w:val="0"/>
          <w:i w:val="0"/>
          <w:color w:val="000000"/>
          <w:sz w:val="20"/>
        </w:rPr>
        <w:t xml:space="preserve">30. Eisenberg, E. &amp; Levanon, E. Y. Human housekeeping genes, revisited. </w:t>
      </w:r>
      <w:r>
        <w:rPr>
          <w:rFonts w:ascii="Arial" w:hAnsi="Arial"/>
          <w:b w:val="0"/>
          <w:i/>
          <w:color w:val="000000"/>
          <w:sz w:val="20"/>
        </w:rPr>
        <w:t>Trends Genet.</w:t>
      </w:r>
      <w:r>
        <w:rPr>
          <w:rFonts w:ascii="Arial" w:hAnsi="Arial"/>
          <w:b w:val="0"/>
          <w:i w:val="0"/>
          <w:color w:val="000000"/>
          <w:sz w:val="20"/>
        </w:rPr>
        <w:t xml:space="preserve"> </w:t>
      </w:r>
      <w:r>
        <w:rPr>
          <w:rFonts w:ascii="Arial" w:hAnsi="Arial"/>
          <w:b/>
          <w:i w:val="0"/>
          <w:color w:val="000000"/>
          <w:sz w:val="20"/>
        </w:rPr>
        <w:t>29,</w:t>
      </w:r>
      <w:r>
        <w:rPr>
          <w:rFonts w:ascii="Arial" w:hAnsi="Arial"/>
          <w:b w:val="0"/>
          <w:i w:val="0"/>
          <w:color w:val="000000"/>
          <w:sz w:val="20"/>
        </w:rPr>
        <w:t xml:space="preserve"> 569–574 (2013).</w:t>
      </w:r>
    </w:p>
    <w:p>
      <w:pPr>
        <w:spacing w:line="276" w:lineRule="auto" w:after="60"/>
      </w:pPr>
      <w:r>
        <w:rPr>
          <w:rFonts w:ascii="Arial" w:hAnsi="Arial"/>
          <w:b w:val="0"/>
          <w:i w:val="0"/>
          <w:color w:val="000000"/>
          <w:sz w:val="20"/>
        </w:rPr>
        <w:t xml:space="preserve">31. Elowitz, M. B., Levine, A. J., Siggia, E. D. &amp; Swain, P. S. Stochastic gene expression in a single cell.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297,</w:t>
      </w:r>
      <w:r>
        <w:rPr>
          <w:rFonts w:ascii="Arial" w:hAnsi="Arial"/>
          <w:b w:val="0"/>
          <w:i w:val="0"/>
          <w:color w:val="000000"/>
          <w:sz w:val="20"/>
        </w:rPr>
        <w:t xml:space="preserve"> 1183–1186 (2002).</w:t>
      </w:r>
    </w:p>
    <w:p>
      <w:pPr>
        <w:spacing w:line="276" w:lineRule="auto" w:after="60"/>
      </w:pPr>
      <w:r>
        <w:rPr>
          <w:rFonts w:ascii="Arial" w:hAnsi="Arial"/>
          <w:b w:val="0"/>
          <w:i w:val="0"/>
          <w:color w:val="000000"/>
          <w:sz w:val="20"/>
        </w:rPr>
        <w:t xml:space="preserve">32. Newman, J. R. S. et al. Single-cell proteomic analysis of S. cerevisiae reveals the architecture of biological noise.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441,</w:t>
      </w:r>
      <w:r>
        <w:rPr>
          <w:rFonts w:ascii="Arial" w:hAnsi="Arial"/>
          <w:b w:val="0"/>
          <w:i w:val="0"/>
          <w:color w:val="000000"/>
          <w:sz w:val="20"/>
        </w:rPr>
        <w:t xml:space="preserve"> 840–846 (2006).</w:t>
      </w:r>
    </w:p>
    <w:p>
      <w:pPr>
        <w:spacing w:line="276" w:lineRule="auto" w:after="60"/>
      </w:pPr>
      <w:r>
        <w:rPr>
          <w:rFonts w:ascii="Arial" w:hAnsi="Arial"/>
          <w:b w:val="0"/>
          <w:i w:val="0"/>
          <w:color w:val="000000"/>
          <w:sz w:val="20"/>
        </w:rPr>
        <w:t xml:space="preserve">33. Raj, A. &amp; van Oudenaarden, A. Nature, nurture, or chance: stochastic gene expression and its consequences.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135,</w:t>
      </w:r>
      <w:r>
        <w:rPr>
          <w:rFonts w:ascii="Arial" w:hAnsi="Arial"/>
          <w:b w:val="0"/>
          <w:i w:val="0"/>
          <w:color w:val="000000"/>
          <w:sz w:val="20"/>
        </w:rPr>
        <w:t xml:space="preserve"> 216–226 (2008).</w:t>
      </w:r>
    </w:p>
    <w:p>
      <w:pPr>
        <w:spacing w:line="276" w:lineRule="auto" w:after="60"/>
      </w:pPr>
      <w:r>
        <w:rPr>
          <w:rFonts w:ascii="Arial" w:hAnsi="Arial"/>
          <w:b w:val="0"/>
          <w:i w:val="0"/>
          <w:color w:val="000000"/>
          <w:sz w:val="20"/>
        </w:rPr>
        <w:t xml:space="preserve">34. Tarashansky, A. J. et al. Mapping single-cell atlases throughout Metazoa unravels cell type evolution.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e66747 (2021).</w:t>
      </w:r>
    </w:p>
    <w:p>
      <w:pPr>
        <w:spacing w:line="276" w:lineRule="auto" w:after="60"/>
      </w:pPr>
      <w:r>
        <w:rPr>
          <w:rFonts w:ascii="Arial" w:hAnsi="Arial"/>
          <w:b w:val="0"/>
          <w:i w:val="0"/>
          <w:color w:val="000000"/>
          <w:sz w:val="20"/>
        </w:rPr>
        <w:t xml:space="preserve">35. Jiang, J. et al. CACIMAR: cross-species analysis of cell identities, markers, regulations, and interactions using single-cell RNA sequencing data. </w:t>
      </w:r>
      <w:r>
        <w:rPr>
          <w:rFonts w:ascii="Arial" w:hAnsi="Arial"/>
          <w:b w:val="0"/>
          <w:i/>
          <w:color w:val="000000"/>
          <w:sz w:val="20"/>
        </w:rPr>
        <w:t>Brief. Bioinform.</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bbae283 (2024).</w:t>
      </w:r>
    </w:p>
    <w:p>
      <w:pPr>
        <w:spacing w:line="276" w:lineRule="auto" w:after="60"/>
      </w:pPr>
      <w:r>
        <w:rPr>
          <w:rFonts w:ascii="Arial" w:hAnsi="Arial"/>
          <w:b w:val="0"/>
          <w:i w:val="0"/>
          <w:color w:val="000000"/>
          <w:sz w:val="20"/>
        </w:rPr>
        <w:t xml:space="preserve">36. Skinnider, M. A. et al. Cell type prioritization in single-cell data.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39,</w:t>
      </w:r>
      <w:r>
        <w:rPr>
          <w:rFonts w:ascii="Arial" w:hAnsi="Arial"/>
          <w:b w:val="0"/>
          <w:i w:val="0"/>
          <w:color w:val="000000"/>
          <w:sz w:val="20"/>
        </w:rPr>
        <w:t xml:space="preserve"> 30–34 (2021).</w:t>
      </w:r>
    </w:p>
    <w:p>
      <w:pPr>
        <w:spacing w:line="276" w:lineRule="auto" w:after="60"/>
      </w:pPr>
      <w:r>
        <w:rPr>
          <w:rFonts w:ascii="Arial" w:hAnsi="Arial"/>
          <w:b w:val="0"/>
          <w:i w:val="0"/>
          <w:color w:val="000000"/>
          <w:sz w:val="20"/>
        </w:rPr>
        <w:t xml:space="preserve">37. Waxman, S. &amp; Wurmbach, E. De-regulation of common housekeeping genes in hepatocellular carcinoma. </w:t>
      </w:r>
      <w:r>
        <w:rPr>
          <w:rFonts w:ascii="Arial" w:hAnsi="Arial"/>
          <w:b w:val="0"/>
          <w:i/>
          <w:color w:val="000000"/>
          <w:sz w:val="20"/>
        </w:rPr>
        <w:t>BMC Genomics</w:t>
      </w:r>
      <w:r>
        <w:rPr>
          <w:rFonts w:ascii="Arial" w:hAnsi="Arial"/>
          <w:b w:val="0"/>
          <w:i w:val="0"/>
          <w:color w:val="000000"/>
          <w:sz w:val="20"/>
        </w:rPr>
        <w:t xml:space="preserve"> </w:t>
      </w:r>
      <w:r>
        <w:rPr>
          <w:rFonts w:ascii="Arial" w:hAnsi="Arial"/>
          <w:b/>
          <w:i w:val="0"/>
          <w:color w:val="000000"/>
          <w:sz w:val="20"/>
        </w:rPr>
        <w:t>8,</w:t>
      </w:r>
      <w:r>
        <w:rPr>
          <w:rFonts w:ascii="Arial" w:hAnsi="Arial"/>
          <w:b w:val="0"/>
          <w:i w:val="0"/>
          <w:color w:val="000000"/>
          <w:sz w:val="20"/>
        </w:rPr>
        <w:t xml:space="preserve"> 243 (2007).</w:t>
      </w:r>
    </w:p>
    <w:p>
      <w:pPr>
        <w:spacing w:line="276" w:lineRule="auto" w:after="60"/>
      </w:pPr>
      <w:r>
        <w:rPr>
          <w:rFonts w:ascii="Arial" w:hAnsi="Arial"/>
          <w:b w:val="0"/>
          <w:i w:val="0"/>
          <w:color w:val="000000"/>
          <w:sz w:val="20"/>
        </w:rPr>
        <w:t xml:space="preserve">38. Bakken, T. E. et al. Comparative cellular analysis of motor cortex in human, marmoset and mouse.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598,</w:t>
      </w:r>
      <w:r>
        <w:rPr>
          <w:rFonts w:ascii="Arial" w:hAnsi="Arial"/>
          <w:b w:val="0"/>
          <w:i w:val="0"/>
          <w:color w:val="000000"/>
          <w:sz w:val="20"/>
        </w:rPr>
        <w:t xml:space="preserve"> 111–119 (2021).</w:t>
      </w:r>
    </w:p>
    <w:p>
      <w:pPr>
        <w:spacing w:line="276" w:lineRule="auto" w:after="60"/>
      </w:pPr>
      <w:r>
        <w:rPr>
          <w:rFonts w:ascii="Arial" w:hAnsi="Arial"/>
          <w:b w:val="0"/>
          <w:i w:val="0"/>
          <w:color w:val="000000"/>
          <w:sz w:val="20"/>
        </w:rPr>
        <w:t xml:space="preserve">39. Marques, S. et al. Oligodendrocyte heterogeneity in the mouse juvenile and adult central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352,</w:t>
      </w:r>
      <w:r>
        <w:rPr>
          <w:rFonts w:ascii="Arial" w:hAnsi="Arial"/>
          <w:b w:val="0"/>
          <w:i w:val="0"/>
          <w:color w:val="000000"/>
          <w:sz w:val="20"/>
        </w:rPr>
        <w:t xml:space="preserve"> 1326–1329 (2016).</w:t>
      </w:r>
    </w:p>
    <w:p>
      <w:pPr>
        <w:spacing w:line="276" w:lineRule="auto" w:after="60"/>
      </w:pPr>
      <w:r>
        <w:rPr>
          <w:rFonts w:ascii="Arial" w:hAnsi="Arial"/>
          <w:b w:val="0"/>
          <w:i w:val="0"/>
          <w:color w:val="000000"/>
          <w:sz w:val="20"/>
        </w:rPr>
        <w:t xml:space="preserve">40. Spitzer, S. O. et al. Oligodendrocyte progenitor cells become regionally diverse and heterogeneous with age.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101,</w:t>
      </w:r>
      <w:r>
        <w:rPr>
          <w:rFonts w:ascii="Arial" w:hAnsi="Arial"/>
          <w:b w:val="0"/>
          <w:i w:val="0"/>
          <w:color w:val="000000"/>
          <w:sz w:val="20"/>
        </w:rPr>
        <w:t xml:space="preserve"> 459–471.e5 (2019).</w:t>
      </w:r>
    </w:p>
    <w:p>
      <w:pPr>
        <w:spacing w:line="276" w:lineRule="auto" w:after="60"/>
      </w:pPr>
      <w:r>
        <w:rPr>
          <w:rFonts w:ascii="Arial" w:hAnsi="Arial"/>
          <w:b w:val="0"/>
          <w:i w:val="0"/>
          <w:color w:val="000000"/>
          <w:sz w:val="20"/>
        </w:rPr>
        <w:t xml:space="preserve">41. Luecken, M. D. &amp; Theis, F. J. Current best practices in single-cell RNA-seq analysis: a tutorial. </w:t>
      </w:r>
      <w:r>
        <w:rPr>
          <w:rFonts w:ascii="Arial" w:hAnsi="Arial"/>
          <w:b w:val="0"/>
          <w:i/>
          <w:color w:val="000000"/>
          <w:sz w:val="20"/>
        </w:rPr>
        <w:t>Mol. Syst. Biol.</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e8746 (2019).</w:t>
      </w:r>
    </w:p>
    <w:p>
      <w:pPr>
        <w:spacing w:line="276" w:lineRule="auto" w:after="60"/>
      </w:pPr>
      <w:r>
        <w:rPr>
          <w:rFonts w:ascii="Arial" w:hAnsi="Arial"/>
          <w:b w:val="0"/>
          <w:i w:val="0"/>
          <w:color w:val="000000"/>
          <w:sz w:val="20"/>
        </w:rPr>
        <w:t xml:space="preserve">42. Lin, J. Divergence measures based on the Shannon entropy. </w:t>
      </w:r>
      <w:r>
        <w:rPr>
          <w:rFonts w:ascii="Arial" w:hAnsi="Arial"/>
          <w:b w:val="0"/>
          <w:i/>
          <w:color w:val="000000"/>
          <w:sz w:val="20"/>
        </w:rPr>
        <w:t>IEEE Trans. Inf. Theory</w:t>
      </w:r>
      <w:r>
        <w:rPr>
          <w:rFonts w:ascii="Arial" w:hAnsi="Arial"/>
          <w:b w:val="0"/>
          <w:i w:val="0"/>
          <w:color w:val="000000"/>
          <w:sz w:val="20"/>
        </w:rPr>
        <w:t xml:space="preserve"> </w:t>
      </w:r>
      <w:r>
        <w:rPr>
          <w:rFonts w:ascii="Arial" w:hAnsi="Arial"/>
          <w:b/>
          <w:i w:val="0"/>
          <w:color w:val="000000"/>
          <w:sz w:val="20"/>
        </w:rPr>
        <w:t>37,</w:t>
      </w:r>
      <w:r>
        <w:rPr>
          <w:rFonts w:ascii="Arial" w:hAnsi="Arial"/>
          <w:b w:val="0"/>
          <w:i w:val="0"/>
          <w:color w:val="000000"/>
          <w:sz w:val="20"/>
        </w:rPr>
        <w:t xml:space="preserve"> 145–151 (1991).</w:t>
      </w:r>
    </w:p>
    <w:p>
      <w:pPr>
        <w:spacing w:line="276" w:lineRule="auto" w:after="60"/>
      </w:pPr>
      <w:r>
        <w:rPr>
          <w:rFonts w:ascii="Arial" w:hAnsi="Arial"/>
          <w:b w:val="0"/>
          <w:i w:val="0"/>
          <w:color w:val="000000"/>
          <w:sz w:val="20"/>
        </w:rPr>
        <w:t xml:space="preserve">43. Benjamini, Y. &amp; Hochberg, Y. Controlling the false discovery rate: a practical and powerful approach to multiple testing. </w:t>
      </w:r>
      <w:r>
        <w:rPr>
          <w:rFonts w:ascii="Arial" w:hAnsi="Arial"/>
          <w:b w:val="0"/>
          <w:i/>
          <w:color w:val="000000"/>
          <w:sz w:val="20"/>
        </w:rPr>
        <w:t>J. R. Stat. Soc. Series B Stat. Methodol.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289–300 (1995).</w:t>
      </w:r>
    </w:p>
    <w:p>
      <w:pPr>
        <w:spacing w:line="276" w:lineRule="auto" w:after="60"/>
      </w:pPr>
      <w:r>
        <w:rPr>
          <w:rFonts w:ascii="Arial" w:hAnsi="Arial"/>
          <w:b w:val="0"/>
          <w:i w:val="0"/>
          <w:color w:val="000000"/>
          <w:sz w:val="20"/>
        </w:rPr>
        <w:t xml:space="preserve">44. Wolf, F. A., Angerer, P. &amp; Theis, F. J. SCANPY: large-scale single-cell gene expression data analysis.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19,</w:t>
      </w:r>
      <w:r>
        <w:rPr>
          <w:rFonts w:ascii="Arial" w:hAnsi="Arial"/>
          <w:b w:val="0"/>
          <w:i w:val="0"/>
          <w:color w:val="000000"/>
          <w:sz w:val="20"/>
        </w:rPr>
        <w:t xml:space="preserve"> 15 (2018).</w:t>
      </w:r>
    </w:p>
    <w:p>
      <w:pPr>
        <w:spacing w:line="276" w:lineRule="auto" w:after="60"/>
      </w:pPr>
      <w:r>
        <w:rPr>
          <w:rFonts w:ascii="Arial" w:hAnsi="Arial"/>
          <w:b w:val="0"/>
          <w:i w:val="0"/>
          <w:color w:val="000000"/>
          <w:sz w:val="20"/>
        </w:rPr>
        <w:t xml:space="preserve">45. Hao, Y. et al. Integrated analysis of multimodal single-cell data.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184,</w:t>
      </w:r>
      <w:r>
        <w:rPr>
          <w:rFonts w:ascii="Arial" w:hAnsi="Arial"/>
          <w:b w:val="0"/>
          <w:i w:val="0"/>
          <w:color w:val="000000"/>
          <w:sz w:val="20"/>
        </w:rPr>
        <w:t xml:space="preserve"> 3573–3587.e29 (2021).</w:t>
      </w:r>
    </w:p>
    <w:p>
      <w:pPr>
        <w:spacing w:line="276" w:lineRule="auto" w:after="60"/>
      </w:pPr>
      <w:r>
        <w:rPr>
          <w:rFonts w:ascii="Arial" w:hAnsi="Arial"/>
          <w:b w:val="0"/>
          <w:i w:val="0"/>
          <w:color w:val="000000"/>
          <w:sz w:val="20"/>
        </w:rPr>
        <w:t xml:space="preserve">46. Hao, Y. et al. Dictionary learning for integrative, multimodal and scalable single-cell analysis.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293–304 (2024).</w:t>
      </w:r>
    </w:p>
    <w:p>
      <w:pPr>
        <w:spacing w:line="276" w:lineRule="auto" w:after="60"/>
      </w:pPr>
      <w:r>
        <w:rPr>
          <w:rFonts w:ascii="Arial" w:hAnsi="Arial"/>
          <w:b w:val="0"/>
          <w:i w:val="0"/>
          <w:color w:val="000000"/>
          <w:sz w:val="20"/>
        </w:rPr>
        <w:t xml:space="preserve">47. CZI Cell Science Program. CZ CELLxGENE Discover: a single-cell data platform for scalable exploration, analysis and modeling of aggregated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53,</w:t>
      </w:r>
      <w:r>
        <w:rPr>
          <w:rFonts w:ascii="Arial" w:hAnsi="Arial"/>
          <w:b w:val="0"/>
          <w:i w:val="0"/>
          <w:color w:val="000000"/>
          <w:sz w:val="20"/>
        </w:rPr>
        <w:t xml:space="preserve"> D886–D900 (2025).</w:t>
      </w:r>
    </w:p>
    <w:p>
      <w:pPr>
        <w:spacing w:line="276" w:lineRule="auto" w:after="60"/>
      </w:pPr>
      <w:r>
        <w:rPr>
          <w:rFonts w:ascii="Arial" w:hAnsi="Arial"/>
          <w:b w:val="0"/>
          <w:i w:val="0"/>
          <w:color w:val="000000"/>
          <w:sz w:val="20"/>
        </w:rPr>
        <w:t xml:space="preserve">48. Weinstein, J. N. et al. The Cancer Genome Atlas Pan-Cancer analysis project. </w:t>
      </w:r>
      <w:r>
        <w:rPr>
          <w:rFonts w:ascii="Arial" w:hAnsi="Arial"/>
          <w:b w:val="0"/>
          <w:i/>
          <w:color w:val="000000"/>
          <w:sz w:val="20"/>
        </w:rPr>
        <w:t>Nat. Genet.</w:t>
      </w:r>
      <w:r>
        <w:rPr>
          <w:rFonts w:ascii="Arial" w:hAnsi="Arial"/>
          <w:b w:val="0"/>
          <w:i w:val="0"/>
          <w:color w:val="000000"/>
          <w:sz w:val="20"/>
        </w:rPr>
        <w:t xml:space="preserve"> </w:t>
      </w:r>
      <w:r>
        <w:rPr>
          <w:rFonts w:ascii="Arial" w:hAnsi="Arial"/>
          <w:b/>
          <w:i w:val="0"/>
          <w:color w:val="000000"/>
          <w:sz w:val="20"/>
        </w:rPr>
        <w:t>45,</w:t>
      </w:r>
      <w:r>
        <w:rPr>
          <w:rFonts w:ascii="Arial" w:hAnsi="Arial"/>
          <w:b w:val="0"/>
          <w:i w:val="0"/>
          <w:color w:val="000000"/>
          <w:sz w:val="20"/>
        </w:rPr>
        <w:t xml:space="preserve"> 1113–1120 (2013).</w:t>
      </w:r>
    </w:p>
    <w:p>
      <w:pPr>
        <w:spacing w:line="276" w:lineRule="auto" w:after="60"/>
      </w:pPr>
      <w:r>
        <w:rPr>
          <w:rFonts w:ascii="Arial" w:hAnsi="Arial"/>
          <w:b w:val="0"/>
          <w:i w:val="0"/>
          <w:color w:val="000000"/>
          <w:sz w:val="20"/>
        </w:rPr>
        <w:t xml:space="preserve">49. Colaprico, A. et al. TCGAbiolinks: an R/Bioconductor package for integrative analysis of TCGA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44,</w:t>
      </w:r>
      <w:r>
        <w:rPr>
          <w:rFonts w:ascii="Arial" w:hAnsi="Arial"/>
          <w:b w:val="0"/>
          <w:i w:val="0"/>
          <w:color w:val="000000"/>
          <w:sz w:val="20"/>
        </w:rPr>
        <w:t xml:space="preserve"> e71 (2016).</w:t>
      </w:r>
    </w:p>
    <w:p>
      <w:pPr>
        <w:spacing w:line="276" w:lineRule="auto" w:after="60"/>
      </w:pPr>
      <w:r>
        <w:rPr>
          <w:rFonts w:ascii="Arial" w:hAnsi="Arial"/>
          <w:b w:val="0"/>
          <w:i w:val="0"/>
          <w:color w:val="000000"/>
          <w:sz w:val="20"/>
        </w:rPr>
        <w:t xml:space="preserve">50. Cerami, E. et al. The cBio cancer genomics portal: an open platform for exploring multidimensional cancer genomics data. </w:t>
      </w:r>
      <w:r>
        <w:rPr>
          <w:rFonts w:ascii="Arial" w:hAnsi="Arial"/>
          <w:b w:val="0"/>
          <w:i/>
          <w:color w:val="000000"/>
          <w:sz w:val="20"/>
        </w:rPr>
        <w:t>Cancer Discov.</w:t>
      </w:r>
      <w:r>
        <w:rPr>
          <w:rFonts w:ascii="Arial" w:hAnsi="Arial"/>
          <w:b w:val="0"/>
          <w:i w:val="0"/>
          <w:color w:val="000000"/>
          <w:sz w:val="20"/>
        </w:rPr>
        <w:t xml:space="preserve"> </w:t>
      </w:r>
      <w:r>
        <w:rPr>
          <w:rFonts w:ascii="Arial" w:hAnsi="Arial"/>
          <w:b/>
          <w:i w:val="0"/>
          <w:color w:val="000000"/>
          <w:sz w:val="20"/>
        </w:rPr>
        <w:t>2,</w:t>
      </w:r>
      <w:r>
        <w:rPr>
          <w:rFonts w:ascii="Arial" w:hAnsi="Arial"/>
          <w:b w:val="0"/>
          <w:i w:val="0"/>
          <w:color w:val="000000"/>
          <w:sz w:val="20"/>
        </w:rPr>
        <w:t xml:space="preserve"> 401–404 (2012).</w:t>
      </w:r>
    </w:p>
    <w:p>
      <w:pPr>
        <w:spacing w:line="276" w:lineRule="auto" w:after="60"/>
      </w:pPr>
      <w:r>
        <w:rPr>
          <w:rFonts w:ascii="Arial" w:hAnsi="Arial"/>
          <w:b w:val="0"/>
          <w:i w:val="0"/>
          <w:color w:val="000000"/>
          <w:sz w:val="20"/>
        </w:rPr>
        <w:t xml:space="preserve">51. Perou, C. M. et al.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406,</w:t>
      </w:r>
      <w:r>
        <w:rPr>
          <w:rFonts w:ascii="Arial" w:hAnsi="Arial"/>
          <w:b w:val="0"/>
          <w:i w:val="0"/>
          <w:color w:val="000000"/>
          <w:sz w:val="20"/>
        </w:rPr>
        <w:t xml:space="preserve"> 747–752 (2000).</w:t>
      </w:r>
    </w:p>
    <w:p>
      <w:pPr>
        <w:spacing w:line="276" w:lineRule="auto" w:after="60"/>
      </w:pPr>
      <w:r>
        <w:rPr>
          <w:rFonts w:ascii="Arial" w:hAnsi="Arial"/>
          <w:b w:val="0"/>
          <w:i w:val="0"/>
          <w:color w:val="000000"/>
          <w:sz w:val="20"/>
        </w:rPr>
        <w:t xml:space="preserve">52. Parker, J. S. et al. Supervised risk predictor of breast cancer based on intrinsic subtypes. </w:t>
      </w:r>
      <w:r>
        <w:rPr>
          <w:rFonts w:ascii="Arial" w:hAnsi="Arial"/>
          <w:b w:val="0"/>
          <w:i/>
          <w:color w:val="000000"/>
          <w:sz w:val="20"/>
        </w:rPr>
        <w:t>J. Clin. Oncol.</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1160–1167 (2009).</w:t>
      </w:r>
    </w:p>
    <w:p>
      <w:pPr>
        <w:spacing w:line="276" w:lineRule="auto" w:after="60"/>
      </w:pPr>
      <w:r>
        <w:rPr>
          <w:rFonts w:ascii="Arial" w:hAnsi="Arial"/>
          <w:b w:val="0"/>
          <w:i w:val="0"/>
          <w:color w:val="000000"/>
          <w:sz w:val="20"/>
        </w:rPr>
        <w:t xml:space="preserve">53. Edmondson, H. A. &amp; Steiner, P. E. Primary carcinoma of the liver: a study of 100 cases among 48,900 necropsies. </w:t>
      </w:r>
      <w:r>
        <w:rPr>
          <w:rFonts w:ascii="Arial" w:hAnsi="Arial"/>
          <w:b w:val="0"/>
          <w:i/>
          <w:color w:val="000000"/>
          <w:sz w:val="20"/>
        </w:rPr>
        <w:t>Cancer</w:t>
      </w:r>
      <w:r>
        <w:rPr>
          <w:rFonts w:ascii="Arial" w:hAnsi="Arial"/>
          <w:b w:val="0"/>
          <w:i w:val="0"/>
          <w:color w:val="000000"/>
          <w:sz w:val="20"/>
        </w:rPr>
        <w:t xml:space="preserve"> </w:t>
      </w:r>
      <w:r>
        <w:rPr>
          <w:rFonts w:ascii="Arial" w:hAnsi="Arial"/>
          <w:b/>
          <w:i w:val="0"/>
          <w:color w:val="000000"/>
          <w:sz w:val="20"/>
        </w:rPr>
        <w:t>7,</w:t>
      </w:r>
      <w:r>
        <w:rPr>
          <w:rFonts w:ascii="Arial" w:hAnsi="Arial"/>
          <w:b w:val="0"/>
          <w:i w:val="0"/>
          <w:color w:val="000000"/>
          <w:sz w:val="20"/>
        </w:rPr>
        <w:t xml:space="preserve"> 462–503 (1954).</w:t>
      </w:r>
    </w:p>
    <w:p>
      <w:pPr>
        <w:spacing w:line="276" w:lineRule="auto" w:after="60"/>
      </w:pPr>
      <w:r>
        <w:rPr>
          <w:rFonts w:ascii="Arial" w:hAnsi="Arial"/>
          <w:b w:val="0"/>
          <w:i w:val="0"/>
          <w:color w:val="000000"/>
          <w:sz w:val="20"/>
        </w:rPr>
        <w:t xml:space="preserve">54. Waskom, M. L. seaborn: statistical data visualization. </w:t>
      </w:r>
      <w:r>
        <w:rPr>
          <w:rFonts w:ascii="Arial" w:hAnsi="Arial"/>
          <w:b w:val="0"/>
          <w:i/>
          <w:color w:val="000000"/>
          <w:sz w:val="20"/>
        </w:rPr>
        <w:t>J. Open Source Softw.</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3021 (2021).</w:t>
      </w:r>
    </w:p>
    <w:p>
      <w:pPr>
        <w:spacing w:line="276" w:lineRule="auto" w:after="60"/>
      </w:pPr>
      <w:r>
        <w:rPr>
          <w:rFonts w:ascii="Arial" w:hAnsi="Arial"/>
          <w:b w:val="0"/>
          <w:i w:val="0"/>
          <w:color w:val="000000"/>
          <w:sz w:val="20"/>
        </w:rPr>
        <w:t xml:space="preserve">55. Pedregosa, F. et al. Scikit-learn: machine learning in Python. </w:t>
      </w:r>
      <w:r>
        <w:rPr>
          <w:rFonts w:ascii="Arial" w:hAnsi="Arial"/>
          <w:b w:val="0"/>
          <w:i/>
          <w:color w:val="000000"/>
          <w:sz w:val="20"/>
        </w:rPr>
        <w:t>J. Mach. Learn. Res.</w:t>
      </w:r>
      <w:r>
        <w:rPr>
          <w:rFonts w:ascii="Arial" w:hAnsi="Arial"/>
          <w:b w:val="0"/>
          <w:i w:val="0"/>
          <w:color w:val="000000"/>
          <w:sz w:val="20"/>
        </w:rPr>
        <w:t xml:space="preserve"> </w:t>
      </w:r>
      <w:r>
        <w:rPr>
          <w:rFonts w:ascii="Arial" w:hAnsi="Arial"/>
          <w:b/>
          <w:i w:val="0"/>
          <w:color w:val="000000"/>
          <w:sz w:val="20"/>
        </w:rPr>
        <w:t>12,</w:t>
      </w:r>
      <w:r>
        <w:rPr>
          <w:rFonts w:ascii="Arial" w:hAnsi="Arial"/>
          <w:b w:val="0"/>
          <w:i w:val="0"/>
          <w:color w:val="000000"/>
          <w:sz w:val="20"/>
        </w:rPr>
        <w:t xml:space="preserve"> 2825–2830 (2011).</w:t>
      </w:r>
    </w:p>
    <w:p>
      <w:pPr>
        <w:spacing w:line="276" w:lineRule="auto" w:after="60"/>
      </w:pPr>
      <w:r>
        <w:rPr>
          <w:rFonts w:ascii="Arial" w:hAnsi="Arial"/>
          <w:b w:val="0"/>
          <w:i w:val="0"/>
          <w:color w:val="000000"/>
          <w:sz w:val="20"/>
        </w:rPr>
        <w:t>56. Efron, B. &amp; Tibshirani, R. J. An Introduction to the Bootstrap (Chapman and Hall/CRC, 1994).</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1"/>
        <w:spacing w:before="420" w:after="160"/>
      </w:pPr>
      <w:r>
        <w:rPr>
          <w:rFonts w:ascii="Arial" w:hAnsi="Arial"/>
          <w:color w:val="000000"/>
          <w:sz w:val="28"/>
          <w:b/>
        </w:rPr>
        <w:t>Competing interests</w:t>
      </w:r>
    </w:p>
    <w:p>
      <w:pPr>
        <w:spacing w:line="276" w:lineRule="auto" w:after="80"/>
        <w:ind w:firstLine="0"/>
      </w:pPr>
      <w:r>
        <w:rPr>
          <w:rFonts w:ascii="Arial" w:hAnsi="Arial"/>
          <w:b w:val="0"/>
          <w:i w:val="0"/>
          <w:color w:val="000000"/>
          <w:sz w:val="22"/>
        </w:rPr>
        <w:t>The authors declare no competing interests.</w:t>
      </w:r>
    </w:p>
    <w:p>
      <w:pPr>
        <w:spacing w:line="276" w:lineRule="auto" w:after="80"/>
        <w:ind w:firstLine="0"/>
      </w:pPr>
      <w:r>
        <w:rPr>
          <w:rFonts w:ascii="Arial" w:hAnsi="Arial"/>
          <w:b w:val="0"/>
          <w:i w:val="0"/>
          <w:color w:val="000000"/>
          <w:sz w:val="22"/>
        </w:rPr>
        <w:t>Supplementary Information is available for this paper: Supplementary Notes 1–15, Supplementary Figs. 1–13, Supplementary Tables 1–4, and the Reproducibility Guide (providing step-by-step instructions, the verified computational environment, and spot-check values for reproducing all analyses, figures, and tables reported in this work).</w:t>
      </w:r>
    </w:p>
    <w:p>
      <w:pPr>
        <w:spacing w:line="276" w:lineRule="auto" w:after="80"/>
        <w:ind w:firstLine="0"/>
      </w:pPr>
      <w:r>
        <w:rPr>
          <w:rFonts w:ascii="Arial" w:hAnsi="Arial"/>
          <w:b w:val="0"/>
          <w:i w:val="0"/>
          <w:color w:val="000000"/>
          <w:sz w:val="22"/>
        </w:rPr>
        <w:t>Correspondence and requests for materials should be addressed to L.Z.</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 and identity gene divergence for k_f; ω = k_f/k_n quantifies transcriptomic divergence relative to the baseline.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and benchmarking against standard metrics on Tabula Sapiens.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 (d)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(e) ROC curves for cell-type classification across five metrics on Tabula Sapiens data.</w:t>
      </w:r>
    </w:p>
    <w:p>
      <w:pPr>
        <w:spacing w:line="276" w:lineRule="auto" w:after="80"/>
        <w:ind w:firstLine="0"/>
      </w:pPr>
      <w:r>
        <w:rPr>
          <w:rFonts w:ascii="Arial" w:hAnsi="Arial"/>
          <w:b w:val="0"/>
          <w:i w:val="0"/>
          <w:color w:val="000000"/>
          <w:sz w:val="22"/>
        </w:rPr>
        <w:t>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(b) ROC curves for cell-type classification across five metrics on Tabula Sapiens data.</w:t>
      </w:r>
    </w:p>
    <w:p>
      <w:pPr>
        <w:spacing w:line="276" w:lineRule="auto" w:after="80"/>
        <w:ind w:firstLine="0"/>
      </w:pPr>
      <w:r>
        <w:rPr>
          <w:rFonts w:ascii="Arial" w:hAnsi="Arial"/>
          <w:b w:val="0"/>
          <w:i w:val="0"/>
          <w:color w:val="000000"/>
          <w:sz w:val="22"/>
        </w:rPr>
        <w:t>Figure 4. Real-data neutral-drift calibration on technical replicates. (a) Schematic of the four-tier drift ladder. Library-level pairs within each brain cell class are arranged by drift source: the per-pair n-matched null (pooled nuclei of the two libraries, permuted and re-split at the observed group sizes) embeds same-library sampling noise; T1 pairs two 10x libraries of the same donor, region, and cell type (pure technical drift; ground truth: no functional difference); T2 crosses donors within a region (technical plus inter-individual drift); T3 crosses regions within a donor (regional biology; positive control). (b) Brain calibration distributions (observed / own n-matched null median; log scale) for seven metrics across tiers T1–T3; boxes show median and IQR (whiskers not shown; extreme tails clipped at the 2nd–98th percentiles for display). ω (leftmost metric) stays near 1 at T1 and shows the shallowest gradient to T3, whereas raw JS, cosine, Spearman, and k_f rise several-fold. (c) False-positive rates on T1 (technical drift, dark) and T2 (donor drift, light): fraction of pairs whose observed value exceeds its own null 95th percentile, with Wilson 95% CIs; the dotted line marks the nominal 5% level. ω misreports least among the continuous divergence metrics at both tiers; marker Jaccard is lower still on the false-positive statistic (T1 19.9%, T2 74.7%) but responds weakest to real regional divergence (T3 calibration 1.41 versus 1.80 for ω and 2.98 for raw JS; panel b) and offers no k_n/k_f decomposition. (d) Replication in the Kang IFN-β PBMC batch-1 technical replicates (30 same-donor, same-condition cross-lane pairs, n-matched null with B = 200 per pair): ω FPR = 0 of 30 with calibration median 0.96, versus 36.7% for raw JS and 23.3% for cosine. ω lowers drift misreporting to the minimum among compared metrics while retaining sensitivity to genuine biological divergence—a relative-calibration advantage, not absolute immunity (see Results).</w:t>
      </w:r>
    </w:p>
    <w:p>
      <w:pPr>
        <w:spacing w:line="276" w:lineRule="auto" w:after="80"/>
        <w:ind w:firstLine="0"/>
      </w:pPr>
      <w:r>
        <w:rPr>
          <w:rFonts w:ascii="Arial" w:hAnsi="Arial"/>
          <w:b w:val="0"/>
          <w:i w:val="0"/>
          <w:color w:val="000000"/>
          <w:sz w:val="22"/>
        </w:rPr>
        <w:t>Figure 5. Pan-cancer tissue-level divergence in tumors. (a) Ratio of mean normal–normal (NN) to tumor–tumor (TT) ω per cancer type (blue; ranked by effect size), with sample-level cluster-bootstrap 95% CIs (B = 1,000); the amber axis shows the corresponding tumor/normal ratio of the housekeeping baseline k_n (TT/NN, means with 95% CIs), which exceeds 1 in all five cancer types while k_f does not—the reversal is denominator-driven. The two axes use independent scales so that both series remain legible. Dotted line, ratio = 1. (b) Per-tumor ω in LUAD by driver mutation (wild-type n = 311, EGFR-mutant n = 61, KRAS-mutant n = 120; boxes, median and IQR; points, individual tumors). Kruskal-Wallis P = 7.8 × 10⁻⁷; brackets, Dunn post-hoc P-values with Holm correction. (c, d) The same stratification for the components k_f (c) and k_n (d): the KRAS contrast carries a functional component (KRAS &gt; EGFR under k_f alone, P_Holm = 0.015; KRAS versus WT retained after purity and smoking adjustment, adjusted P = 0.009 and 0.029) together with a lower k_n baseline (WT &gt; KRAS, P_Holm = 4.2 × 10⁻⁴), whereas the apparent EGFR elevation dissolved under purity adjustment (all adjusted P &gt; 0.4), consistent with an admixture artefact rather than a baseline shift. All values from the linear-normalization re-computation (Methods).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spacing w:line="276" w:lineRule="auto" w:after="80"/>
        <w:ind w:firstLine="0"/>
      </w:pPr>
      <w:r>
        <w:rPr>
          <w:rFonts w:ascii="Arial" w:hAnsi="Arial"/>
          <w:b w:val="0"/>
          <w:i w:val="0"/>
          <w:color w:val="000000"/>
          <w:sz w:val="22"/>
        </w:rPr>
        <w:t>Supplementary Fig. 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Supplementary Fig. 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Supplementary Fig. 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Supplementary Fig. 4. TCGA per-cancer matrices and supplementary stratification vignettes. (a) Pairwise ω matrices for five cancer types (BRCA, KIRC, LIHC, LUAD, LUSC) showing tissue-level transcriptomic divergence structure within each cancer cohort. (b) Within-cancer-type stratification (exploratory): per-tumor ω by LIHC Edmondson grade and BRCA PAM50 subtype; both orderings are denominator-dominated and reverse or largely reverse under k_f alone, unlike the LUAD driver-mutation contrast (Results).</w:t>
      </w:r>
    </w:p>
    <w:p>
      <w:pPr>
        <w:spacing w:line="276" w:lineRule="auto" w:after="80"/>
        <w:ind w:firstLine="0"/>
      </w:pPr>
      <w:r>
        <w:rPr>
          <w:rFonts w:ascii="Arial" w:hAnsi="Arial"/>
          <w:b w:val="0"/>
          <w:i w:val="0"/>
          <w:color w:val="000000"/>
          <w:sz w:val="22"/>
        </w:rPr>
        <w:t>Supplementary Fig. 5.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Supplementary Fig. 6.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Supplementary Fig. 7.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Supplementary Fig. 8.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Supplementary Fig. 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Supplementary Fig. 10.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spacing w:line="276" w:lineRule="auto" w:after="80"/>
        <w:ind w:firstLine="0"/>
      </w:pPr>
      <w:r>
        <w:rPr>
          <w:rFonts w:ascii="Arial" w:hAnsi="Arial"/>
          <w:b w:val="0"/>
          <w:i w:val="0"/>
          <w:color w:val="000000"/>
          <w:sz w:val="22"/>
        </w:rPr>
        <w:t>Supplementary Fig. 11.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Supplementary Fig. 12.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Supplementary Fig. 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