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is a Ka/Ks-inspired index quantifying functional divergence in single-cell genomics</w:t>
      </w:r>
    </w:p>
    <w:p>
      <w:r>
        <w:rPr>
          <w:rFonts w:ascii="Arial" w:hAnsi="Arial"/>
          <w:b w:val="0"/>
          <w:color w:val="000000"/>
          <w:sz w:val="22"/>
        </w:rPr>
        <w:t>Xianming Wu (1), Li Zhang (1,2,*)</w:t>
      </w:r>
    </w:p>
    <w:p>
      <w:r>
        <w:rPr>
          <w:rFonts w:ascii="Arial" w:hAnsi="Arial"/>
          <w:b w:val="0"/>
          <w:color w:val="000000"/>
          <w:sz w:val="22"/>
        </w:rPr>
        <w:t>(1) Chinese Institute for Brain Research, Beijing 102206, China</w:t>
      </w:r>
    </w:p>
    <w:p>
      <w:r>
        <w:rPr>
          <w:rFonts w:ascii="Arial" w:hAnsi="Arial"/>
          <w:b w:val="0"/>
          <w:color w:val="000000"/>
          <w:sz w:val="22"/>
        </w:rPr>
        <w:t>(2) Institute of Blood Transfusion, Chinese Academy of Medical Sciences &amp; Peking Union Medical College, Chengdu 610052,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Non-HK-Anchored Neutral Drift Controls</w:t>
      </w:r>
    </w:p>
    <w:p>
      <w:r>
        <w:rPr>
          <w:rFonts w:ascii="Arial" w:hAnsi="Arial"/>
          <w:b w:val="0"/>
          <w:color w:val="000000"/>
          <w:sz w:val="22"/>
        </w:rPr>
        <w:t>Supplementary Note 6: Real Perturbation Demonstration (Kang et al. IFN-beta PBMC)</w:t>
      </w:r>
    </w:p>
    <w:p>
      <w:r>
        <w:rPr>
          <w:rFonts w:ascii="Arial" w:hAnsi="Arial"/>
          <w:b w:val="0"/>
          <w:color w:val="000000"/>
          <w:sz w:val="22"/>
        </w:rPr>
        <w:t>Supplementary Note 7: Fixed Gene-Panel Ablation</w:t>
      </w:r>
    </w:p>
    <w:p>
      <w:r>
        <w:rPr>
          <w:rFonts w:ascii="Arial" w:hAnsi="Arial"/>
          <w:b w:val="0"/>
          <w:color w:val="000000"/>
          <w:sz w:val="22"/>
        </w:rPr>
        <w:t>Supplementary Note 8: TCGA composition-contribution check for the NN/TT k_n reversal</w:t>
      </w:r>
    </w:p>
    <w:p>
      <w:r>
        <w:rPr>
          <w:rFonts w:ascii="Arial" w:hAnsi="Arial"/>
          <w:b w:val="0"/>
          <w:color w:val="000000"/>
          <w:sz w:val="22"/>
        </w:rPr>
        <w:t>Supplementary Note 9: k_f-only Ordering Controls (Cross-Organ Ranking and TCGA Severity)</w:t>
      </w:r>
    </w:p>
    <w:p>
      <w:r>
        <w:rPr>
          <w:rFonts w:ascii="Arial" w:hAnsi="Arial"/>
          <w:b w:val="0"/>
          <w:color w:val="000000"/>
          <w:sz w:val="22"/>
        </w:rPr>
        <w:t>Supplementary Note 10: Brain Class-Size Confounding Controls and min-cells Threshold Sensitivity</w:t>
      </w:r>
    </w:p>
    <w:p>
      <w:r>
        <w:rPr>
          <w:rFonts w:ascii="Arial" w:hAnsi="Arial"/>
          <w:b w:val="0"/>
          <w:color w:val="000000"/>
          <w:sz w:val="22"/>
        </w:rPr>
        <w:t>Supplementary Note 11: Region Glossary (Siletti et al. Dissection Nomenclature)</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Brain set-level enrichment of the block-shuffle signal (post-hoc)</w:t>
      </w:r>
    </w:p>
    <w:p>
      <w:r>
        <w:rPr>
          <w:rFonts w:ascii="Arial" w:hAnsi="Arial"/>
          <w:b w:val="0"/>
          <w:color w:val="000000"/>
          <w:sz w:val="22"/>
        </w:rPr>
        <w:t>Supplementary Note 14: Comparison with Augur Cell-Type Prioritization</w:t>
      </w:r>
    </w:p>
    <w:p>
      <w:r>
        <w:rPr>
          <w:rFonts w:ascii="Arial" w:hAnsi="Arial"/>
          <w:b w:val="0"/>
          <w:color w:val="000000"/>
          <w:sz w:val="22"/>
        </w:rPr>
        <w:t>Supplementary Note 15: JS Divergence Dimensionality Invariance</w:t>
      </w:r>
    </w:p>
    <w:p>
      <w:r>
        <w:rPr>
          <w:rFonts w:ascii="Arial" w:hAnsi="Arial"/>
          <w:b w:val="0"/>
          <w:color w:val="000000"/>
          <w:sz w:val="22"/>
        </w:rPr>
        <w:t>Supplementary Table 1: Parameter Sweep Results</w:t>
      </w:r>
    </w:p>
    <w:p>
      <w:r>
        <w:rPr>
          <w:rFonts w:ascii="Arial" w:hAnsi="Arial"/>
          <w:b w:val="0"/>
          <w:color w:val="000000"/>
          <w:sz w:val="22"/>
        </w:rPr>
        <w:t>Supplementary Table 2: Cross-Organ Conservation Data</w:t>
      </w:r>
    </w:p>
    <w:p>
      <w:r>
        <w:rPr>
          <w:rFonts w:ascii="Arial" w:hAnsi="Arial"/>
          <w:b w:val="0"/>
          <w:color w:val="000000"/>
          <w:sz w:val="22"/>
        </w:rPr>
        <w:t>Supplementary Table 3: Human Brain Non-neuronal Cell Regional CKI Data</w:t>
      </w:r>
    </w:p>
    <w:p>
      <w:r>
        <w:rPr>
          <w:rFonts w:ascii="Arial" w:hAnsi="Arial"/>
          <w:b w:val="0"/>
          <w:color w:val="000000"/>
          <w:sz w:val="22"/>
        </w:rPr>
        <w:t>Supplementary Table 4: Inter-regional Region-Associated Candidate Data</w:t>
      </w:r>
    </w:p>
    <w:p>
      <w:r>
        <w:rPr>
          <w:rFonts w:ascii="Arial" w:hAnsi="Arial"/>
          <w:b w:val="0"/>
          <w:color w:val="000000"/>
          <w:sz w:val="22"/>
        </w:rPr>
        <w:t>Supplementary Table 5: TCGA Linear-Normalization Robustness</w:t>
      </w:r>
    </w:p>
    <w:p>
      <w:r>
        <w:rPr>
          <w:rFonts w:ascii="Arial" w:hAnsi="Arial"/>
          <w:b w:val="0"/>
          <w:color w:val="000000"/>
          <w:sz w:val="22"/>
        </w:rPr>
        <w:t>Supplementary Table 6: Kang IFN-beta Per-Cell-Type Effects</w:t>
      </w:r>
    </w:p>
    <w:p>
      <w:r>
        <w:rPr>
          <w:rFonts w:ascii="Arial" w:hAnsi="Arial"/>
          <w:b w:val="0"/>
          <w:color w:val="000000"/>
          <w:sz w:val="22"/>
        </w:rPr>
        <w:t>Supplementary Table 7: Target-Detection AUC in Mean-Shift Simulation</w:t>
      </w:r>
    </w:p>
    <w:p>
      <w:r>
        <w:rPr>
          <w:rFonts w:ascii="Arial" w:hAnsi="Arial"/>
          <w:b w:val="0"/>
          <w:color w:val="000000"/>
          <w:sz w:val="22"/>
        </w:rPr>
        <w:t>Supplementary Table 8: Donor-Paired Detection Power</w:t>
      </w:r>
    </w:p>
    <w:p>
      <w:r>
        <w:rPr>
          <w:rFonts w:ascii="Arial" w:hAnsi="Arial"/>
          <w:b w:val="0"/>
          <w:color w:val="000000"/>
          <w:sz w:val="22"/>
        </w:rPr>
        <w:t>Supplementary Table 9: Kang Batch-1 Technical-Replicate Calibration</w:t>
      </w:r>
    </w:p>
    <w:p>
      <w:r>
        <w:rPr>
          <w:rFonts w:ascii="Arial" w:hAnsi="Arial"/>
          <w:b w:val="0"/>
          <w:color w:val="000000"/>
          <w:sz w:val="22"/>
        </w:rPr>
        <w:t>Supplementary Table 10: Brain Drift Ladder by Tier and Metric</w:t>
      </w:r>
    </w:p>
    <w:p>
      <w:r>
        <w:rPr>
          <w:rFonts w:ascii="Arial" w:hAnsi="Arial"/>
          <w:b w:val="0"/>
          <w:color w:val="000000"/>
          <w:sz w:val="22"/>
        </w:rPr>
        <w:t>Supplementary Table 11: Pan-Cancer NN/TT Ratios</w:t>
      </w:r>
    </w:p>
    <w:p>
      <w:r>
        <w:rPr>
          <w:rFonts w:ascii="Arial" w:hAnsi="Arial"/>
          <w:b w:val="0"/>
          <w:color w:val="000000"/>
          <w:sz w:val="22"/>
        </w:rPr>
        <w:t>Supplementary Table 12: LUAD Driver-Group Means</w:t>
      </w:r>
    </w:p>
    <w:p>
      <w:r>
        <w:rPr>
          <w:rFonts w:ascii="Arial" w:hAnsi="Arial"/>
          <w:b w:val="0"/>
          <w:color w:val="000000"/>
          <w:sz w:val="22"/>
        </w:rPr>
        <w:t>Supplementary Table 13: LUAD Pairwise Contrasts</w:t>
      </w:r>
    </w:p>
    <w:p>
      <w:r>
        <w:rPr>
          <w:rFonts w:ascii="Arial" w:hAnsi="Arial"/>
          <w:b w:val="0"/>
          <w:color w:val="000000"/>
          <w:sz w:val="22"/>
        </w:rPr>
        <w:t>Supplementary Table 14: LIHC Overall-Survival Cox Models</w:t>
      </w:r>
    </w:p>
    <w:p>
      <w:r>
        <w:rPr>
          <w:rFonts w:ascii="Arial" w:hAnsi="Arial"/>
          <w:b w:val="0"/>
          <w:color w:val="000000"/>
          <w:sz w:val="22"/>
        </w:rPr>
        <w:t>Supplementary Table 15: Purity Sensitivity of the Pan-Cancer Reversal</w:t>
      </w:r>
    </w:p>
    <w:p>
      <w:r>
        <w:rPr>
          <w:rFonts w:ascii="Arial" w:hAnsi="Arial"/>
          <w:b w:val="0"/>
          <w:color w:val="000000"/>
          <w:sz w:val="22"/>
        </w:rPr>
        <w:t>Supplementary Table 16: LUAD Admixture-Adjusted Contrasts</w:t>
      </w:r>
    </w:p>
    <w:p>
      <w:r>
        <w:rPr>
          <w:rFonts w:ascii="Arial" w:hAnsi="Arial"/>
          <w:b w:val="0"/>
          <w:color w:val="000000"/>
          <w:sz w:val="22"/>
        </w:rPr>
        <w:t>Supplementary Table 17: LUAD Smoking-Covariate Adjustment</w:t>
      </w:r>
    </w:p>
    <w:p>
      <w:r>
        <w:rPr>
          <w:rFonts w:ascii="Arial" w:hAnsi="Arial"/>
          <w:b w:val="0"/>
          <w:color w:val="000000"/>
          <w:sz w:val="22"/>
        </w:rPr>
        <w:t>Supplementary Table 18: TCGA Clinical-Severity Gradients</w:t>
      </w:r>
    </w:p>
    <w:p>
      <w:r>
        <w:rPr>
          <w:rFonts w:ascii="Arial" w:hAnsi="Arial"/>
          <w:b w:val="0"/>
          <w:color w:val="000000"/>
          <w:sz w:val="22"/>
        </w:rPr>
        <w:t>Supplementary Table 19: Brain min-cells Threshold Sensitivity</w:t>
      </w:r>
    </w:p>
    <w:p>
      <w:r>
        <w:rPr>
          <w:rFonts w:ascii="Arial" w:hAnsi="Arial"/>
          <w:b w:val="0"/>
          <w:color w:val="000000"/>
          <w:sz w:val="22"/>
        </w:rPr>
        <w:t>Supplementary Data 1: Analysis Script Index</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10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5). Scripts: notebooks/85_tcga_linear_norm_v44.py (main pipeline and clinical severity) and notebooks/86_tcga_composition_linear_norm_v44.py (composition sensitivity);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(v0.5.0),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cell type classification performance assessment.</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12: ω distribution characterization; Supplementary Fig. 9: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7.)</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2.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(v0.5.0),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95% CI [7.37, 8.02] by t-interval, [7.38, 8.02] by bootstrap with B = 10,000), superseding the legacy single-split estimate 6.67 [4.24, 9.24]. The legacy point estimate lies inside the overlap of the two CIs; the difference is single-split sampling noise dominated by the hepatocyte population (per-population SD ≈ 6.0). Per-population means (50 splits each): hepatocyte 12.44 ± 5.98, marrow B cell 7.36 ± 1.39, heart endothelial 7.23 ± 1.59, heart fibroblast 7.00 ± 1.73, spleen B cell 6.38 ± 0.93, marrow neutrophil 5.77 ± 2.67. The calibration constant used throughout this revision is therefore 7.70 [7.37, 8.02]; qualitative calibrated-ω conclusions are unchanged (e.g., brain grand mean 38.5 → ω_cal ≈ 5.0–5.8 under either baseline).</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6).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6).</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7).</w:t>
      </w:r>
    </w:p>
    <w:p>
      <w:r>
        <w:rPr>
          <w:rFonts w:ascii="Arial" w:hAnsi="Arial"/>
          <w:b w:val="0"/>
          <w:color w:val="000000"/>
          <w:sz w:val="22"/>
        </w:rPr>
        <w:t>Power formalization (donor-paired design of Supplementary Note 6;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8).</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9; the replication is shown in main-text Fig. 4d.</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10; main-text Fig. 4b,c.</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11–17). Per-tumor statistics are the mean of ω, k_f, and k_n over all pairs in the linear-normalization pair table (35,306 pairs; authoritative file: results/tcga_linear_norm_v44_all_pairs.csv) in which a sample participates; per-sample values are not archived as a separate file and are rebuilt from that pair table plus the cBioPortal mutation labels by notebooks/nc49_tcga_main.py (Reproducibility Guide, Section 5.10c). Group-level ratios carry sample-level cluster bootstrap 95% CIs (B = 1,000; seed 42; tumor and normal samples resampled with replacement independently, each pair reweighted by the product of its endpoint resampling weights). LUAD driver groups (61 EGFR, 120 KRAS, 311 wild-type; 2 double mutants excluded) were tested with Kruskal-Wallis followed by Dunn post-hoc tests with Holm correction (manual implementation, tie-corrected rank variances); group mean differences carry within-group bootstrap 95% CIs (B = 1,000). The LIHC survival analysis used Cox proportional-hazards regression (statsmodels PHReg) with per-tumor ω standardized to unit SD (hazard ratios per SD), adjusted for AJCC stage (I-IV), Edmondson grade (G1-G4), age, and sex (listwise deletion of missing covariates), with k_f-only, k_n-only, and tumor-normal-ω exposures as sensitivity models (Supplementary Table 14).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notebooks/nc49_tcga_main.py (seed 42), notebooks/nc49_pilot_lihc_cox.py, notebooks/nc49_tcga_purity.py, notebooks/nc49_tcga_luad_smoking.py, notebooks/nc49_tcga_kf_composition.py; outputs: results/nc49_tcga_pancancer.csv, results/nc49_tcga_luad_mutation.csv, results/nc49_pilot_lihc_cox.csv,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Tables 12 and 13).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~84% of the log-ω gap;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Tables 15–17):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15), so the pan-cancer reversal is not an admixture artefact. In LUAD, admixture differed across driver groups (highest in EGFR-mutant tumors), and OLS adjustment for admixture abolished the EGFR-wild-type differences while preserving both KRAS-wild-type components (Supplementary Table 16); smoking status (ever/never, available for 427 of 492 LUAD tumors, 87%) was strongly confounded with driver group but did not carry the divergence association (Supplementary Table 17).</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entering the pair-level analysis (29 expression-matrix samples were excluded for missing barcode matching or pair coverage).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6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(95% CI [7.37, 8.02], bootstrap B = 10,000 [7.38, 8.02]); the legacy single-split estimate 6.67 [4.24, 9.24] lies inside the overlap of the two CIs and is superseded. We introduce calibrated ω: omega_cal = omega_obs / 7.70, which rescales all values so that equivalent populations yield omega_cal ~ 1.0. Given the width of the baseline CI, calibrated values are reported with at most two significant figures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[7.37, 8.02],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all key results. (Supplementary Fig. 2.)</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6: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3). Script: notebooks/79_kang_ifnb_demo.py; outputs: results/kang_ifnb_demo_pairs.csv (709 pairs), results/kang_ifnb_demo_summary.json.</w:t>
      </w:r>
    </w:p>
    <w:p>
      <w:pPr>
        <w:pStyle w:val="Heading2"/>
      </w:pPr>
      <w:r>
        <w:t>Supplementary Note 7: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pPr>
        <w:pStyle w:val="Heading2"/>
      </w:pPr>
      <w:r>
        <w:t>Supplementary Note 8: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The composition check was re-run on the linear-normalization pair table of Section 1.7 (script notebooks/86_tcga_composition_linear_norm_v44.py, mirroring script 74 with the four marker panels and the sample-level cluster bootstrap, B = 200; outputs results/tcga_composition_v44.{csv,txt}). All conclusions are unchanged: pooled four-panel attenuation −0.8% (cluster-bootstrap median −1.2%, 95% CI [−4.1%, +2.6%]); per-cancer attenuation LIHC +37.1% [+27.1%, +51.5%], KIRC +18.3% [+13.9%, +23.4%], BRCA −16.2% [−25.5%, −7.5%], LUAD −1.6%, LUSC −11.1%; the within-TT correlation of k_n with the composition difference is Spearman ρ = 0.355 pooled (per-cancer 0.146–0.492). Composition covariates still absorb a substantial share of the tumor-pair coefficient in LIHC and KIRC but not in the other cancer types, and the pooled near-zero estimate still masks this heterogeneity.</w:t>
      </w:r>
    </w:p>
    <w:p>
      <w:pPr>
        <w:pStyle w:val="Heading2"/>
      </w:pPr>
      <w:r>
        <w:t>Supplementary Note 9: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2 / Fig. 5)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linear-normalization re-analysis at kn_floor = 0, notebooks/85_tcga_linear_norm_v44.py, results/tcga_clinical_severity_v44.csv,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(78.2, 76.8, 77.9, 72.6 for G1–G4; Jonckheere-Terpstra P ≈ 0), but k_f increases with grade (JT P = 6.9 × 10⁻¹⁵) and k_n increases in parallel (JT P ≈ 0),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4b), and the full values and test details are given in Supplementary Table 18. The k_f-only controls are post-hoc; the P-values reported here (three severity analyses crossed with three metrics) are nominal and carry no multiplicity correction. Scripts: notebooks/83_kf_only_ordering.py (published softmax run) and notebooks/85_tcga_linear_norm_v44.py (linear re-analysis); outputs: results/kf_only_ordering.csv, results/kf_only_ordering.json, results/kf_only_severity.csv, results/kf_only_ordering.txt, results/tcga_clinical_severity_v44.csv.</w:t>
      </w:r>
    </w:p>
    <w:p>
      <w:pPr>
        <w:pStyle w:val="Heading2"/>
      </w:pPr>
      <w:r>
        <w:t>Supplementary Note 10: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Roughly 70% of the full-data 6.10-fold magnitude therefore reflects class-size imbalance and is disclosed as such in the main text; the direction of the gradient is robust. The min-cells threshold sweep is given in Supplementary Table 19.</w:t>
      </w:r>
    </w:p>
    <w:p>
      <w:pPr>
        <w:pStyle w:val="Heading2"/>
      </w:pPr>
      <w:r>
        <w:t>Supplementary Note 11: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10.</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pPr>
        <w:pStyle w:val="Heading2"/>
      </w:pPr>
      <w:r>
        <w:t>Supplementary Note 13: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pPr>
        <w:pStyle w:val="Heading2"/>
      </w:pPr>
      <w:r>
        <w:t>Supplementary Note 14: Comparison with Augur Cell-Type Prioritization</w:t>
      </w:r>
    </w:p>
    <w:p>
      <w:r>
        <w:rPr>
          <w:rFonts w:ascii="Arial" w:hAnsi="Arial"/>
          <w:b w:val="0"/>
          <w:color w:val="000000"/>
          <w:sz w:val="22"/>
        </w:rPr>
        <w:t>Augur (Skinnider et al., Nat. Biotechnol. 2021; main-text ref. 56)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3.13, we used pyaugur 0.1.0, a pure-Python port of R Augur v1.0.3; the port’s own validation benchmark (shipped with the pyaugur package) reports Spearman ρ = 1.0 against the R reference implementation.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the primary,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w:t>
      </w:r>
    </w:p>
    <w:p>
      <w:r>
        <w:rPr>
          <w:rFonts w:ascii="Arial" w:hAnsi="Arial"/>
          <w:b w:val="0"/>
          <w:color w:val="000000"/>
          <w:sz w:val="22"/>
        </w:rPr>
        <w:t>Under the primary binary OvR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the two methods are complementary rather than redundant. The multiclass variant is disclosed only as a sensitivity analysis because its AUC correlates with the number of eligible regions per class (ρ = −0.744, P = 0.014); it gives a weaker association (versus ω ρ = +0.127, P = 0.726). Scripts notebooks/91_augur_v45.py and notebooks/91b_augur_ovr_v45.py; report results/augur_comparison_v45_report.md.</w:t>
      </w:r>
    </w:p>
    <w:p>
      <w:pPr>
        <w:pStyle w:val="Heading2"/>
      </w:pPr>
      <w:r>
        <w:t>Supplementary Note 15: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13.)</w:t>
      </w:r>
    </w:p>
    <w:p>
      <w:r>
        <w:br w:type="page"/>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w:t>
      </w:r>
    </w:p>
    <w:p>
      <w:r>
        <w:rPr>
          <w:rFonts w:ascii="Arial" w:hAnsi="Arial"/>
          <w:b w:val="0"/>
          <w:color w:val="000000"/>
          <w:sz w:val="22"/>
        </w:rPr>
      </w:r>
    </w:p>
    <w:p>
      <w:pPr>
        <w:pStyle w:val="Heading2"/>
      </w:pPr>
      <w:r>
        <w:t>Supplementary Table 2: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w:t>
      </w:r>
    </w:p>
    <w:p>
      <w:r>
        <w:rPr>
          <w:rFonts w:ascii="Arial" w:hAnsi="Arial"/>
          <w:b w:val="0"/>
          <w:color w:val="000000"/>
          <w:sz w:val="22"/>
        </w:rPr>
      </w:r>
    </w:p>
    <w:p>
      <w:pPr>
        <w:pStyle w:val="Heading2"/>
      </w:pPr>
      <w:r>
        <w:t>Supplementary Table 3: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are provided in Supplementary Table 3.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6).</w:t>
      </w:r>
    </w:p>
    <w:p>
      <w:r>
        <w:rPr>
          <w:rFonts w:ascii="Arial" w:hAnsi="Arial"/>
          <w:b w:val="0"/>
          <w:color w:val="000000"/>
          <w:sz w:val="22"/>
        </w:rPr>
      </w:r>
    </w:p>
    <w:p>
      <w:pPr>
        <w:pStyle w:val="Heading2"/>
      </w:pPr>
      <w:r>
        <w:t>Supplementary Table 4: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S3 and S4 share the same underlying data file (results/brain_bs_null_observed_pairs.csv): Supplementary Table 3 reports all 31,764 pairs with per-cell-type summary statistics, whereas Supplementary Table 4 retains the 6,591 threshold-passing rows with their tier, residual, and ω annotations.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notebooks/07c_brain_siletti_v3.py (brain regional CKI analysis and region-associated candidate detection), and notebooks/30_genome_biology_figures.py with notebooks/_fig1_clean.py to _fig6_clean.py (figure generation).</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