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b/>
          <w:color w:val="000000"/>
          <w:sz w:val="32"/>
        </w:rPr>
        <w:t>CKI is a Ka/Ks-inspired index quantifying functional divergence in single-cell genomics</w:t>
      </w:r>
    </w:p>
    <w:p>
      <w:pPr>
        <w:jc w:val="center"/>
      </w:pPr>
      <w:r>
        <w:rPr>
          <w:rFonts w:ascii="Arial" w:hAnsi="Arial"/>
          <w:color w:val="000000"/>
          <w:sz w:val="28"/>
        </w:rPr>
        <w:t>Xianming Wu</w:t>
      </w:r>
      <w:r>
        <w:rPr>
          <w:rFonts w:ascii="Arial" w:hAnsi="Arial"/>
          <w:color w:val="000000"/>
          <w:sz w:val="22"/>
          <w:vertAlign w:val="superscript"/>
        </w:rPr>
        <w:t>1</w:t>
      </w:r>
      <w:r>
        <w:t xml:space="preserve">, </w:t>
      </w:r>
      <w:r>
        <w:rPr>
          <w:rFonts w:ascii="Arial" w:hAnsi="Arial"/>
          <w:color w:val="000000"/>
          <w:sz w:val="28"/>
        </w:rPr>
        <w:t>Li Zhang</w:t>
      </w:r>
      <w:r>
        <w:rPr>
          <w:rFonts w:ascii="Arial" w:hAnsi="Arial"/>
          <w:color w:val="000000"/>
          <w:sz w:val="22"/>
          <w:vertAlign w:val="superscript"/>
        </w:rPr>
        <w:t>1</w:t>
      </w:r>
      <w:r>
        <w:rPr>
          <w:rFonts w:ascii="Arial" w:hAnsi="Arial"/>
          <w:color w:val="000000"/>
          <w:sz w:val="22"/>
          <w:vertAlign w:val="superscript"/>
        </w:rPr>
        <w:t>,</w:t>
      </w:r>
      <w:r>
        <w:rPr>
          <w:rFonts w:ascii="Arial" w:hAnsi="Arial"/>
          <w:color w:val="000000"/>
          <w:sz w:val="22"/>
          <w:vertAlign w:val="superscript"/>
        </w:rPr>
        <w:t>2</w:t>
      </w:r>
      <w:r>
        <w:rPr>
          <w:rFonts w:ascii="Arial" w:hAnsi="Arial"/>
          <w:color w:val="000000"/>
          <w:sz w:val="22"/>
          <w:vertAlign w:val="superscript"/>
        </w:rPr>
        <w:t xml:space="preserve"> </w:t>
      </w:r>
      <w:r>
        <w:rPr>
          <w:rFonts w:ascii="Arial" w:hAnsi="Arial"/>
          <w:color w:val="000000"/>
          <w:sz w:val="22"/>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color w:val="000000"/>
          <w:sz w:val="20"/>
        </w:rPr>
        <w:t>* To whom correspondence should be addressed. Email: knightz@pumc.edu.cn</w:t>
      </w:r>
    </w:p>
    <w:p>
      <w:pPr>
        <w:jc w:val="center"/>
      </w:pPr>
      <w:r>
        <w:rPr>
          <w:rFonts w:ascii="Arial" w:hAnsi="Arial"/>
          <w:color w:val="000000"/>
          <w:sz w:val="22"/>
        </w:rPr>
        <w:t>ORCID: Li Zhang 0000-0002-0698-0754</w:t>
      </w:r>
    </w:p>
    <w:p>
      <w:pPr>
        <w:pStyle w:val="Heading1"/>
        <w:spacing w:before="420" w:after="160"/>
      </w:pPr>
      <w:r>
        <w:rPr>
          <w:rFonts w:ascii="Arial" w:hAnsi="Arial"/>
          <w:color w:val="000000"/>
          <w:sz w:val="28"/>
          <w:b/>
        </w:rPr>
        <w:t>Abstract</w:t>
      </w:r>
    </w:p>
    <w:p>
      <w:pPr>
        <w:spacing w:line="276" w:lineRule="auto" w:after="80"/>
        <w:ind w:firstLine="0"/>
      </w:pPr>
      <w:r>
        <w:rPr>
          <w:rFonts w:ascii="Arial" w:hAnsi="Arial"/>
          <w:b w:val="0"/>
          <w:i w:val="0"/>
          <w:color w:val="000000"/>
          <w:sz w:val="22"/>
        </w:rPr>
        <w:t>Inspired by the Ka/Ks ratio, CKI (Cell-type Ka/Ks-inspired Index) decomposes transcriptomic divergence into a baseline rate k_n (housekeeping genes) and a functional rate k_f (identity genes); ω = k_f/k_n quantifies baseline-normalized functional divergence. In ground-truth simulation, ω rejected neutral housekeeping drift (false-positive rate 0.00 versus 0.55–0.58 for raw JS and cosine) and ranked first for functional-versus-neutral discrimination (AUC = 0.80). In 3,596 TCGA samples across five cancer types, ω revealed a consistent pan-cancer reversal—tumor specimens less divergent than adjacent non-tumor tissue (ratio 1.13–2.46, CI excluding 1 in four of five cancers)—driven by a 2.1–3.6-fold elevated housekeeping baseline, not reduced functional divergence; in lung adenocarcinoma, KRAS-mutant tumors show elevated tissue-level divergence (P = 7.8 × 10⁻⁷) with a functional component, the EGFR association baseline-driven. Brain analysis revealed a 6.10-fold regional gradient (size-balanced estimate 1.74 [1.64, 1.84]). CKI is freely available as an open-source Python package.</w:t>
      </w:r>
    </w:p>
    <w:p>
      <w:pPr>
        <w:pStyle w:val="Heading1"/>
        <w:spacing w:before="420" w:after="160"/>
      </w:pPr>
      <w:r>
        <w:rPr>
          <w:rFonts w:ascii="Arial" w:hAnsi="Arial"/>
          <w:color w:val="000000"/>
          <w:sz w:val="28"/>
          <w:b/>
        </w:rPr>
        <w:t>Introduction</w:t>
      </w:r>
    </w:p>
    <w:p>
      <w:pPr>
        <w:spacing w:line="276" w:lineRule="auto" w:after="80"/>
        <w:ind w:firstLine="0"/>
      </w:pPr>
      <w:r>
        <w:rPr>
          <w:rFonts w:ascii="Arial" w:hAnsi="Arial"/>
          <w:b w:val="0"/>
          <w:i w:val="0"/>
          <w:color w:val="000000"/>
          <w:sz w:val="22"/>
        </w:rPr>
        <w:t>Comparing two cell populations is among the most common tasks in single-cell analysis. Researchers typically choose a standard metric: Euclidean distance, cosine similarity, Pearson or Spearman correlation, or Jensen-Shannon divergence. These metrics are convenient, but they treat all gene expression differences equally.</w:t>
      </w:r>
    </w:p>
    <w:p>
      <w:pPr>
        <w:spacing w:line="276" w:lineRule="auto" w:after="80"/>
        <w:ind w:firstLine="0"/>
      </w:pPr>
      <w:r>
        <w:rPr>
          <w:rFonts w:ascii="Arial" w:hAnsi="Arial"/>
          <w:b w:val="0"/>
          <w:i w:val="0"/>
          <w:color w:val="000000"/>
          <w:sz w:val="22"/>
        </w:rPr>
        <w:t xml:space="preserve">Not all expression changes have the same biological meaning: a twofold change in GAPDH may reflect technical noise, whereas a twofold change in a transcription factor may reflect a functional state shift, and standard metrics cannot tell these apart. The problem is acute in large single-cell atlases </w:t>
      </w:r>
      <w:r>
        <w:rPr>
          <w:rFonts w:ascii="Arial" w:hAnsi="Arial"/>
          <w:b w:val="0"/>
          <w:i w:val="0"/>
          <w:color w:val="000000"/>
          <w:sz w:val="22"/>
          <w:vertAlign w:val="superscript"/>
        </w:rPr>
        <w:t>1</w:t>
      </w:r>
      <w:r>
        <w:rPr>
          <w:rFonts w:ascii="Arial" w:hAnsi="Arial"/>
          <w:b w:val="0"/>
          <w:i w:val="0"/>
          <w:color w:val="000000"/>
          <w:sz w:val="22"/>
        </w:rPr>
        <w:t xml:space="preserve">, where donor- and batch-level variation often dominates over cell-type identity. Methods such as Harmony </w:t>
      </w:r>
      <w:r>
        <w:rPr>
          <w:rFonts w:ascii="Arial" w:hAnsi="Arial"/>
          <w:b w:val="0"/>
          <w:i w:val="0"/>
          <w:color w:val="000000"/>
          <w:sz w:val="22"/>
          <w:vertAlign w:val="superscript"/>
        </w:rPr>
        <w:t>2</w:t>
      </w:r>
      <w:r>
        <w:rPr>
          <w:rFonts w:ascii="Arial" w:hAnsi="Arial"/>
          <w:b w:val="0"/>
          <w:i w:val="0"/>
          <w:color w:val="000000"/>
          <w:sz w:val="22"/>
        </w:rPr>
        <w:t xml:space="preserve">, scVI </w:t>
      </w:r>
      <w:r>
        <w:rPr>
          <w:rFonts w:ascii="Arial" w:hAnsi="Arial"/>
          <w:b w:val="0"/>
          <w:i w:val="0"/>
          <w:color w:val="000000"/>
          <w:sz w:val="22"/>
          <w:vertAlign w:val="superscript"/>
        </w:rPr>
        <w:t>3</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remove such nuisance variation </w:t>
      </w:r>
      <w:r>
        <w:rPr>
          <w:rFonts w:ascii="Arial" w:hAnsi="Arial"/>
          <w:b w:val="0"/>
          <w:i w:val="0"/>
          <w:color w:val="000000"/>
          <w:sz w:val="22"/>
          <w:vertAlign w:val="superscript"/>
        </w:rPr>
        <w:t>5</w:t>
      </w:r>
      <w:r>
        <w:rPr>
          <w:rFonts w:ascii="Arial" w:hAnsi="Arial"/>
          <w:b w:val="0"/>
          <w:i w:val="0"/>
          <w:color w:val="000000"/>
          <w:sz w:val="22"/>
        </w:rPr>
        <w:t>, but a key question remains: how much of the difference between two populations reflects functional adaptation rather than neutral drift?</w:t>
      </w:r>
    </w:p>
    <w:p>
      <w:pPr>
        <w:spacing w:line="276" w:lineRule="auto" w:after="80"/>
        <w:ind w:firstLine="0"/>
      </w:pPr>
      <w:r>
        <w:rPr>
          <w:rFonts w:ascii="Arial" w:hAnsi="Arial"/>
          <w:b w:val="0"/>
          <w:i w:val="0"/>
          <w:color w:val="000000"/>
          <w:sz w:val="22"/>
        </w:rPr>
        <w:t xml:space="preserve">This question mirrors one addressed in molecular evolution. The Ka/Ks ratio (dN/dS) distinguishes nonsynonymous changes (Ka, which alter the protein) from synonymous changes (Ks, largely silent) </w:t>
      </w:r>
      <w:r>
        <w:rPr>
          <w:rFonts w:ascii="Arial" w:hAnsi="Arial"/>
          <w:b w:val="0"/>
          <w:i w:val="0"/>
          <w:color w:val="000000"/>
          <w:sz w:val="22"/>
          <w:vertAlign w:val="superscript"/>
        </w:rPr>
        <w:t>6,7</w:t>
      </w:r>
      <w:r>
        <w:rPr>
          <w:rFonts w:ascii="Arial" w:hAnsi="Arial"/>
          <w:b w:val="0"/>
          <w:i w:val="0"/>
          <w:color w:val="000000"/>
          <w:sz w:val="22"/>
        </w:rPr>
        <w:t>, using synonymous sites as an internal baseline so that the ratio reveals selection. While CKI does not share Ka/Ks’s formal mathematical properties (notably the shared mutation rate that cancels in the ratio; see Discussion), it adopts an analogous heuristic logic for transcriptomic comparisons.</w:t>
      </w:r>
    </w:p>
    <w:p>
      <w:pPr>
        <w:spacing w:line="276" w:lineRule="auto" w:after="80"/>
        <w:ind w:firstLine="0"/>
      </w:pPr>
      <w:r>
        <w:rPr>
          <w:rFonts w:ascii="Arial" w:hAnsi="Arial"/>
          <w:b w:val="0"/>
          <w:i w:val="0"/>
          <w:color w:val="000000"/>
          <w:sz w:val="22"/>
        </w:rPr>
        <w:t>CKI defines two rates: a baseline divergence rate k_n, estimated from housekeeping (HK) gene expression, and a functional divergence rate k_f, estimated from cell-type identity genes. The ratio ω = k_f/k_n quantifies baseline-normalized functional divergence: values close to the equivalent-population calibration baseline (established empirically within each dataset; see Results) indicate baseline-consistent differences, values far above indicate functional divergence exceeding baseline variation, and values far below indicate strong functional constraint. The scope of ω is bounded by a single central assumption, stated here once and quantified empirically throughout: the HK anchor is valid only where housekeeping expression remains constrained. Functional signal located on HK genes is invisible to ω by construction, and in disease or strong-perturbation contexts the anchor itself shifts—housekeeping dysregulation and composition change in cancer (TCGA, below), IFN-β stimulation of housekeeping genes in the perturbation demonstration (below; simulated adversarial scenarios in Supplementary Note 1)—inflating the denominator and deflating the ratio. In such regimes ω must be read alongside its components, and k_f with a design-matched null is the honest default for ordering claims (Results; limitations are addressed in the Discussion). CKI ω is a heuristic index, not a formal measure of Darwinian selection; interpretation is anchored in the empirical distribution of ω within each analysis rather than in fixed ratio cut-offs or claims about selection regimes (see Discussion).</w:t>
      </w:r>
    </w:p>
    <w:p>
      <w:pPr>
        <w:spacing w:line="276" w:lineRule="auto" w:after="80"/>
        <w:ind w:firstLine="0"/>
      </w:pPr>
      <w:r>
        <w:rPr>
          <w:rFonts w:ascii="Arial" w:hAnsi="Arial"/>
          <w:b w:val="0"/>
          <w:i w:val="0"/>
          <w:color w:val="000000"/>
          <w:sz w:val="22"/>
        </w:rPr>
        <w:t xml:space="preserve">Here, we show that CKI provides a baseline-normalized index of cell-state divergence across four scales. First, we calibrated CKI on Tabula Muris mouse data </w:t>
      </w:r>
      <w:r>
        <w:rPr>
          <w:rFonts w:ascii="Arial" w:hAnsi="Arial"/>
          <w:b w:val="0"/>
          <w:i w:val="0"/>
          <w:color w:val="000000"/>
          <w:sz w:val="22"/>
          <w:vertAlign w:val="superscript"/>
        </w:rPr>
        <w:t>8</w:t>
      </w:r>
      <w:r>
        <w:rPr>
          <w:rFonts w:ascii="Arial" w:hAnsi="Arial"/>
          <w:b w:val="0"/>
          <w:i w:val="0"/>
          <w:color w:val="000000"/>
          <w:sz w:val="22"/>
        </w:rPr>
        <w:t xml:space="preserve">: random splits of the same cell population yield ω above 1 (empirical calibration baseline 7.70, 95% CI [7.37, 8.02]). Second, in Tabula Sapiens human data </w:t>
      </w:r>
      <w:r>
        <w:rPr>
          <w:rFonts w:ascii="Arial" w:hAnsi="Arial"/>
          <w:b w:val="0"/>
          <w:i w:val="0"/>
          <w:color w:val="000000"/>
          <w:sz w:val="22"/>
          <w:vertAlign w:val="superscript"/>
        </w:rPr>
        <w:t>9</w:t>
      </w:r>
      <w:r>
        <w:rPr>
          <w:rFonts w:ascii="Arial" w:hAnsi="Arial"/>
          <w:b w:val="0"/>
          <w:i w:val="0"/>
          <w:color w:val="000000"/>
          <w:sz w:val="22"/>
        </w:rPr>
        <w:t xml:space="preserve">, CKI ω is negatively correlated with all four standard distance metrics; a decomposition analysis showed this association is partly driven by the k_n denominator (k_n is itself strongly positively correlated with the standard metrics), so ω is a composite of numerator and denominator information rather than a fully independent dimension (see Results). Third, applied to TCGA cancer data </w:t>
      </w:r>
      <w:r>
        <w:rPr>
          <w:rFonts w:ascii="Arial" w:hAnsi="Arial"/>
          <w:b w:val="0"/>
          <w:i w:val="0"/>
          <w:color w:val="000000"/>
          <w:sz w:val="22"/>
          <w:vertAlign w:val="superscript"/>
        </w:rPr>
        <w:t>10,11</w:t>
      </w:r>
      <w:r>
        <w:rPr>
          <w:rFonts w:ascii="Arial" w:hAnsi="Arial"/>
          <w:b w:val="0"/>
          <w:i w:val="0"/>
          <w:color w:val="000000"/>
          <w:sz w:val="22"/>
        </w:rPr>
        <w:t xml:space="preserve">, CKI mapped tissue-level functional divergence across five cancer types and 3,596 samples, uncovering a consistent pan-cancer reversal—tumor specimens less divergent than adjacent non-tumor tissue, attributable to an elevated housekeeping baseline—and resolving driver-class differences in lung adenocarcinoma, where KRAS-mutant tumors show functional (k_f) divergence while the EGFR association is baseline-driven (Results). Fourth, in a human brain single-nucleus atlas </w:t>
      </w:r>
      <w:r>
        <w:rPr>
          <w:rFonts w:ascii="Arial" w:hAnsi="Arial"/>
          <w:b w:val="0"/>
          <w:i w:val="0"/>
          <w:color w:val="000000"/>
          <w:sz w:val="22"/>
          <w:vertAlign w:val="superscript"/>
        </w:rPr>
        <w:t>12</w:t>
      </w:r>
      <w:r>
        <w:rPr>
          <w:rFonts w:ascii="Arial" w:hAnsi="Arial"/>
          <w:b w:val="0"/>
          <w:i w:val="0"/>
          <w:color w:val="000000"/>
          <w:sz w:val="22"/>
        </w:rPr>
        <w:t>, we measured how non-neuronal cell classes differ across brain regions, quantifying a 6.10-fold regional differentiation gradient and screening for anomalously similar cell-type/region-pair candidates; because no candidate survived false-discovery-rate correction under a strict block-shuffle null preserving the cell-type-by-region design, we present the brain candidates as hypothesis-generating signals for future lineage-tracing validation. The human, pan-cancer, and brain analyses are complemented by mouse Tabula Muris calibration and ground-truth simulation analyses throughout.</w:t>
      </w:r>
    </w:p>
    <w:p>
      <w:pPr>
        <w:pStyle w:val="Heading1"/>
        <w:spacing w:before="420" w:after="160"/>
      </w:pPr>
      <w:r>
        <w:rPr>
          <w:rFonts w:ascii="Arial" w:hAnsi="Arial"/>
          <w:color w:val="000000"/>
          <w:sz w:val="28"/>
          <w:b/>
        </w:rPr>
        <w:t>Results</w:t>
      </w:r>
    </w:p>
    <w:p>
      <w:pPr>
        <w:pStyle w:val="Heading2"/>
        <w:spacing w:before="420" w:after="160"/>
      </w:pPr>
      <w:r>
        <w:rPr>
          <w:rFonts w:ascii="Arial" w:hAnsi="Arial"/>
          <w:color w:val="000000"/>
          <w:sz w:val="24"/>
          <w:b/>
        </w:rPr>
        <w:t>Decomposing transcriptomic variation</w:t>
      </w:r>
    </w:p>
    <w:p>
      <w:pPr>
        <w:spacing w:line="276" w:lineRule="auto" w:after="80"/>
        <w:ind w:firstLine="0"/>
      </w:pPr>
      <w:r>
        <w:rPr>
          <w:rFonts w:ascii="Arial" w:hAnsi="Arial"/>
          <w:b w:val="0"/>
          <w:i w:val="0"/>
          <w:color w:val="000000"/>
          <w:sz w:val="22"/>
        </w:rPr>
        <w:t>CKI takes two cell populations as input, each represented as a pseudobulk expression vector (mean expression across its cells). The computation has three steps, all using the same metric (Jensen-Shannon divergence) on the same expression matrix, so the ratio is internally calibrated (Fig. 1).</w:t>
      </w:r>
    </w:p>
    <w:p>
      <w:pPr>
        <w:spacing w:line="276" w:lineRule="auto" w:after="80"/>
        <w:ind w:firstLine="0"/>
      </w:pPr>
      <w:r>
        <w:rPr>
          <w:rFonts w:ascii="Arial" w:hAnsi="Arial"/>
          <w:b w:val="0"/>
          <w:i w:val="0"/>
          <w:color w:val="000000"/>
          <w:sz w:val="22"/>
        </w:rPr>
        <w:t xml:space="preserve">Step 1: Compute the baseline divergence rate k_n. We restrict the pseudobulk vectors to housekeeping (HK) gene indices and add a +1 pseudo-count followed by L1 normalization; k_n is the JS divergence between the two HK-gene probability distributions. Because HK genes should not differ systematically between biologically equivalent populations </w:t>
      </w:r>
      <w:r>
        <w:rPr>
          <w:rFonts w:ascii="Arial" w:hAnsi="Arial"/>
          <w:b w:val="0"/>
          <w:i w:val="0"/>
          <w:color w:val="000000"/>
          <w:sz w:val="22"/>
          <w:vertAlign w:val="superscript"/>
        </w:rPr>
        <w:t>13</w:t>
      </w:r>
      <w:r>
        <w:rPr>
          <w:rFonts w:ascii="Arial" w:hAnsi="Arial"/>
          <w:b w:val="0"/>
          <w:i w:val="0"/>
          <w:color w:val="000000"/>
          <w:sz w:val="22"/>
        </w:rPr>
        <w:t>, k_n captures baseline noise: technical variation, stochastic bursting, and individual-level physiological differences.</w:t>
      </w:r>
    </w:p>
    <w:p>
      <w:pPr>
        <w:spacing w:line="276" w:lineRule="auto" w:after="80"/>
        <w:ind w:firstLine="0"/>
      </w:pPr>
      <w:r>
        <w:rPr>
          <w:rFonts w:ascii="Arial" w:hAnsi="Arial"/>
          <w:b w:val="0"/>
          <w:i w:val="0"/>
          <w:color w:val="000000"/>
          <w:sz w:val="22"/>
        </w:rPr>
        <w:t>Step 2: Compute the functional divergence rate k_f. We restrict the pseudobulk vectors to identity gene indices—genes that define cell-type-specific functions. In the default configuration (Tabula Muris full pairwise matrix, Supplementary Fig. 1), identity genes are the top-2,000 highly variable genes (HVGs; Seurat flavor), excluding HK genes; for the mouse pilot calibration and all other analyses (human Tabula Sapiens, TCGA, brain atlas), k_f uses the top-200 differentially expressed genes (ranked by absolute mean difference) for that specific pair and k_n is computed per pair on the shared HK gene set, HK genes excluded throughout. k_f is the JS divergence between the two identity-gene probability distributions. Because the k_f genes are selected per pair from the observed difference itself, k_f magnitudes are inflated relative to non-circular selection (median 1.61-fold versus a leave-pair-out panel) while rankings are essentially preserved (Spearman ρ ≈ 0.92–0.94 across schemes); absolute k_f—and therefore absolute ω—are upper-bound, scheme-specific estimates (fixed gene-panel ablation, Results).</w:t>
      </w:r>
    </w:p>
    <w:p>
      <w:pPr>
        <w:spacing w:line="276" w:lineRule="auto" w:after="80"/>
        <w:ind w:firstLine="0"/>
      </w:pPr>
      <w:r>
        <w:rPr>
          <w:rFonts w:ascii="Arial" w:hAnsi="Arial"/>
          <w:b w:val="0"/>
          <w:i w:val="0"/>
          <w:color w:val="000000"/>
          <w:sz w:val="22"/>
        </w:rPr>
        <w:t>Step 3: ω = k_f/k_n. For statistical inference, we perform permutation testing (B = 1,000 for all datasets): group labels are permuted (cell labels for mouse and human, sample labels for TCGA) or, for the brain, library-to-region assignments are block-shuffled, and ω is recalculated to generate a null distribution. The empirical P-value is P = (count(ω_null ≥ ω_obs) + 1)/(B + 1), effect size is reported as standardized effect size (SES = (ω_obs − μ_null) / σ_null), and Benjamini-Hochberg FDR correction is applied within each dataset; larger-scale analyses are supplemented with non-parametric tests and descriptive statistics.</w:t>
      </w:r>
    </w:p>
    <w:p>
      <w:pPr>
        <w:spacing w:line="276" w:lineRule="auto" w:after="80"/>
        <w:ind w:firstLine="0"/>
      </w:pPr>
      <w:r>
        <w:rPr>
          <w:rFonts w:ascii="Arial" w:hAnsi="Arial"/>
          <w:b w:val="0"/>
          <w:i w:val="0"/>
          <w:color w:val="000000"/>
          <w:sz w:val="22"/>
        </w:rPr>
        <w:t>A parameter sweep on Tabula Muris mouse data (703 cell-type pairs across 6 organs) showed that adding pathway enrichment scores to k_f does not improve performance: the identity-only configuration (w_identity = 1.0, w_pathway = 0.0) achieved the best cell-type discrimination (AUC = 0.786, Supplementary Fig. 1; Supplementary Table 1). Partitioning expression into constrained baseline and identity gene sets suffices, without external pathway databases.</w:t>
      </w:r>
    </w:p>
    <w:p>
      <w:pPr>
        <w:pStyle w:val="Heading2"/>
        <w:spacing w:before="420" w:after="160"/>
      </w:pPr>
      <w:r>
        <w:rPr>
          <w:rFonts w:ascii="Arial" w:hAnsi="Arial"/>
          <w:color w:val="000000"/>
          <w:sz w:val="24"/>
          <w:b/>
        </w:rPr>
        <w:t>Calibration confirms baseline behavior</w:t>
      </w:r>
    </w:p>
    <w:p>
      <w:pPr>
        <w:spacing w:line="276" w:lineRule="auto" w:after="80"/>
        <w:ind w:firstLine="0"/>
      </w:pPr>
      <w:r>
        <w:rPr>
          <w:rFonts w:ascii="Arial" w:hAnsi="Arial"/>
          <w:b w:val="0"/>
          <w:i w:val="0"/>
          <w:color w:val="000000"/>
          <w:sz w:val="22"/>
        </w:rPr>
        <w:t xml:space="preserve">We calibrated CKI on the Tabula Muris FACS dataset </w:t>
      </w:r>
      <w:r>
        <w:rPr>
          <w:rFonts w:ascii="Arial" w:hAnsi="Arial"/>
          <w:b w:val="0"/>
          <w:i w:val="0"/>
          <w:color w:val="000000"/>
          <w:sz w:val="22"/>
          <w:vertAlign w:val="superscript"/>
        </w:rPr>
        <w:t>8</w:t>
      </w:r>
      <w:r>
        <w:rPr>
          <w:rFonts w:ascii="Arial" w:hAnsi="Arial"/>
          <w:b w:val="0"/>
          <w:i w:val="0"/>
          <w:color w:val="000000"/>
          <w:sz w:val="22"/>
        </w:rPr>
        <w:t xml:space="preserve"> (SmartSeq2, 15,057 cells, 22,308 genes, 6 organs). Housekeeping genes were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(mouse ortholog column). For the full pairwise matrix (703 pairs, Supplementary Fig. 1), identity genes were the top-2,000 highly variable genes (HVGs; Seurat), excluding HK genes. For the pilot calibration (controls, S/D/X categories), we used a hybrid scheme: per-pair k_n on the shared HK gene set with per-pair k_f (top-200 differentially expressed genes, ranked by absolute mean difference, HK excluded) (Fig. 2).</w:t>
      </w:r>
    </w:p>
    <w:p>
      <w:pPr>
        <w:spacing w:line="276" w:lineRule="auto" w:after="80"/>
        <w:ind w:firstLine="0"/>
      </w:pPr>
      <w:r>
        <w:rPr>
          <w:rFonts w:ascii="Arial" w:hAnsi="Arial"/>
          <w:b w:val="0"/>
          <w:i w:val="0"/>
          <w:color w:val="000000"/>
          <w:sz w:val="22"/>
        </w:rPr>
        <w:t>We performed control comparisons in which we randomly split the same cell population into two halves, across six FACS control populations (Fig. 2a). The initial calibration used one split per population (six control comparisons; mean ω 6.67, median 6.46, CV ≈ 52%), indicating substantial baseline variability. Repeating split-half 50 times per population (300 ω values) stabilized the baseline at mean ω = 7.70 (SD of replicate means 1.15, 95% CI [7.37, 8.02]); the legacy six-split estimate (6.67) is consistent, the difference attributable to single-split noise. No control comparison reached significance (all P &gt; 0.05, one-sided permutation test): CKI recognizes biologically equivalent populations as having no functional divergence—though formal equivalence testing (TOST) would give stronger evidence; the 50-replicate calibration now bounds the precision of the calibration factor (ω_cal = ω / 7.70).</w:t>
      </w:r>
    </w:p>
    <w:p>
      <w:pPr>
        <w:spacing w:line="276" w:lineRule="auto" w:after="80"/>
        <w:ind w:firstLine="0"/>
      </w:pPr>
      <w:r>
        <w:rPr>
          <w:rFonts w:ascii="Arial" w:hAnsi="Arial"/>
          <w:b w:val="0"/>
          <w:i w:val="0"/>
          <w:color w:val="000000"/>
          <w:sz w:val="22"/>
        </w:rPr>
        <w:t>Beyond controls, ω values increased monotonically with biological distance (Fig. 2b, c). Same cell type across different organs (S category: mean ω = 21.31, n = 4 pairs) had lower ω than different cell types within the same organ (D category: mean ω = 43.19, n = 3 pairs). With only 2–4 pairs per category we report observed ranges (S: 8.8–42.8; D: 30.1–61.7; X: 23.0–31.6) and read category means as calibration-scale estimates, not precise effect sizes. Component analysis confirmed k_f as the driver: from controls to inter-cell-type comparisons, k_f rose roughly 400-fold (mean 0.0015 → 0.63–0.68), while k_n rose only 72–118-fold (0.00022 → 0.016–0.026). CKI thus measures functional divergence, not total difference.</w:t>
      </w:r>
    </w:p>
    <w:p>
      <w:pPr>
        <w:spacing w:line="276" w:lineRule="auto" w:after="80"/>
        <w:ind w:firstLine="0"/>
      </w:pPr>
      <w:r>
        <w:rPr>
          <w:rFonts w:ascii="Arial" w:hAnsi="Arial"/>
          <w:b w:val="0"/>
          <w:i w:val="0"/>
          <w:color w:val="000000"/>
          <w:sz w:val="22"/>
        </w:rPr>
        <w:t>Because the empirical baseline (ω = 7.70, 95% CI [7.37, 8.02]; 50 split-half replicates across six control populations) deviates substantially from the theoretical ideal (ω = 1), we introduce a calibrated omega, ω_cal = ω_obs / 7.70, reported to at most two significant figures as order-of-magnitude estimates. Under this calibration the brain global mean becomes ≈ 5 (raw 38.55), astrocytes—the most regionally divergent class—≈ 11 (raw 82.75), and the most constrained classes ≈ 1.8 (raw 13.56). Scheme-matched split-half calibration inside the brain atlas (29 populations; B = 50 splits) gave an internal baseline of 9.73 (95% CI [9.03, 10.53]), ~1.3-fold above the mouse-derived factor, so the mouse calibration overstates brain ω_cal (brain-internal: global mean ≈ 4.0, astrocytes ≈ 8.5, Bergmann glia ≈ 1.4). In Tabula Sapiens the internal baseline was 7.67 (95% CI [7.39, 8.00]), inside the mouse-derived CI: the mouse factor transfers to Tabula Sapiens but not to the brain atlas—ω_cal is dataset-relative, not universal. Class-specific split-half baselines from the same 29 populations (range 7.58–12.52, a 1.65-fold spread) address the residual between-class heterogeneity: under per-class baselines the astrocyte-to-Bergmann-glia gradient is 5.99 (95% CI [4.43, 7.69] under a studentized bootstrap-t region-clustered bootstrap, which attains nominal coverage at 6–7 clusters where the earlier percentile interval [4.12, 9.18] under-covers; Supplementary Note 2), essentially unchanged (the two classes’ baselines nearly coincide, 9.26 vs 9.08), while calibrated levels compress (astrocytes ω_cal = 8.9; Bergmann glia ω_cal = 1.49, joint 95% CI [0.99, 2.12], no longer excluding 1). With the same correction, Bergmann glia’s class-mean CI widens to [5.76, 28.59] (was [8.49, 19.52]): the claim that Bergmann glia diverges above its class baseline (9.08) does not survive and is downgraded to a qualitative statement—cross-region ω is elevated in absolute terms but not separable from baseline at 7 regions (Supplementary Note 3). A ratio-estimator audit confirms the calibration absorbs ratio bias: under the split-half null E[k_f/k_n] exceeds E[k_f]/E[k_n] by a median +0.2% per class × region group (worst bin k_n &lt; 10⁻⁴: +6.5%), and the gradient is robust to the summary statistic (6.10 mean, 6.00 median, 6.09 trimmed) and to excluding near-zero-k_n pairs (Supplementary Note 4). We recommend per-class calibration for within-dataset class contrasts; calibrated values accompany raw ω in all key results (Supplementary Fig. 2), and calibrate_omega() is available in the CKI package.</w:t>
      </w:r>
    </w:p>
    <w:p>
      <w:pPr>
        <w:pStyle w:val="Heading2"/>
        <w:spacing w:before="420" w:after="160"/>
      </w:pPr>
      <w:r>
        <w:rPr>
          <w:rFonts w:ascii="Arial" w:hAnsi="Arial"/>
          <w:color w:val="000000"/>
          <w:sz w:val="24"/>
          <w:b/>
        </w:rPr>
        <w:t>Correlation structure between CKI and standard metrics</w:t>
      </w:r>
    </w:p>
    <w:p>
      <w:pPr>
        <w:spacing w:line="276" w:lineRule="auto" w:after="80"/>
        <w:ind w:firstLine="0"/>
      </w:pPr>
      <w:r>
        <w:rPr>
          <w:rFonts w:ascii="Arial" w:hAnsi="Arial"/>
          <w:b w:val="0"/>
          <w:i w:val="0"/>
          <w:color w:val="000000"/>
          <w:sz w:val="22"/>
        </w:rPr>
        <w:t xml:space="preserve">We extended CKI to the Tabula Sapiens human atlas </w:t>
      </w:r>
      <w:r>
        <w:rPr>
          <w:rFonts w:ascii="Arial" w:hAnsi="Arial"/>
          <w:b w:val="0"/>
          <w:i w:val="0"/>
          <w:color w:val="000000"/>
          <w:sz w:val="22"/>
          <w:vertAlign w:val="superscript"/>
        </w:rPr>
        <w:t>9</w:t>
      </w:r>
      <w:r>
        <w:rPr>
          <w:rFonts w:ascii="Arial" w:hAnsi="Arial"/>
          <w:b w:val="0"/>
          <w:i w:val="0"/>
          <w:color w:val="000000"/>
          <w:sz w:val="22"/>
        </w:rPr>
        <w:t xml:space="preserve"> (108,136 cells; 102 cell-type entries, 99 of which passed the pairwise-analysis filters and contributed 4,851 pairs across six organs). We used the same hybrid scheme as the mouse pilot, with HK genes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(human column) (Fig. 3).</w:t>
      </w:r>
    </w:p>
    <w:p>
      <w:pPr>
        <w:spacing w:line="276" w:lineRule="auto" w:after="80"/>
        <w:ind w:firstLine="0"/>
      </w:pPr>
      <w:r>
        <w:rPr>
          <w:rFonts w:ascii="Arial" w:hAnsi="Arial"/>
          <w:b w:val="0"/>
          <w:i w:val="0"/>
          <w:color w:val="000000"/>
          <w:sz w:val="22"/>
        </w:rPr>
        <w:t>Human ω values ranged from 1.35 to 87.69 (mean 21.61, median 19.65, n = 4,851 pairs). We refrain from comparing these absolute magnitudes with the mouse pilot X-category mean (n = 2 pairs on a different dataset scale); cross-dataset ω comparisons are rank-based only throughout (see Discussion). Within the human atlas, the biological hierarchy was preserved: same cell type across organs (mean ω = 15.83, n = 59 pairs) was lower than different cell types within the same organ (mean ω = 24.87, n = 1,038 pairs).</w:t>
      </w:r>
    </w:p>
    <w:p>
      <w:pPr>
        <w:spacing w:line="276" w:lineRule="auto" w:after="80"/>
        <w:ind w:firstLine="0"/>
      </w:pPr>
      <w:r>
        <w:rPr>
          <w:rFonts w:ascii="Arial" w:hAnsi="Arial"/>
          <w:b w:val="0"/>
          <w:i w:val="0"/>
          <w:color w:val="000000"/>
          <w:sz w:val="22"/>
        </w:rPr>
        <w:t>We computed CKI ω and four standard metrics (raw JS divergence, Spearman distance, cosine distance, marker Jaccard distance) on all 4,851 human cell-type pairs. CKI ω was negatively correlated with all four standard metrics (Spearman r = −0.36 to −0.46, all P &lt; 0.001), whereas the four standard metrics formed a tight positive cluster (pairwise r = 0.57–0.93). Because ω = k_f/k_n is a ratio, a negative correlation can arise mechanically when the denominator k_n is itself positively correlated with those metrics. Decomposing the association: k_f was positively correlated with the standard metrics (r = +0.43 to +0.72) and k_n more strongly so (r = +0.69 to +0.81), and conditional on k_n the correlation between ω and each standard metric became positive in all four cases (partial r = +0.11 to +0.54, all P &lt; 1 × 10⁻¹⁴). The negative raw correlation is thus partly a ratio artifact of the k_n denominator: ω combines k_f and k_n into a composite signal whose value lies in normalizing functional divergence against a population-specific baseline rather than in statistical independence from existing metrics.</w:t>
      </w:r>
    </w:p>
    <w:p>
      <w:pPr>
        <w:spacing w:before="420" w:after="160"/>
      </w:pPr>
      <w:r>
        <w:rPr>
          <w:rFonts w:ascii="Arial" w:hAnsi="Arial"/>
          <w:b/>
          <w:sz w:val="22"/>
        </w:rPr>
        <w:t>Table 1. Classification AUC (area under the ROC curve) of five metrics on Tabula Sapiens (99 of 102 cell-type entries analyzed;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0.849</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ω</w:t>
            </w:r>
          </w:p>
        </w:tc>
        <w:tc>
          <w:tcPr>
            <w:tcW w:type="dxa" w:w="4703"/>
          </w:tcPr>
          <w:p>
            <w:r>
              <w:t>0.680</w:t>
            </w:r>
          </w:p>
        </w:tc>
      </w:tr>
    </w:tbl>
    <w:p>
      <w:pPr>
        <w:spacing w:after="160"/>
      </w:pPr>
    </w:p>
    <w:p>
      <w:pPr>
        <w:spacing w:line="276" w:lineRule="auto" w:after="80"/>
        <w:ind w:firstLine="0"/>
      </w:pPr>
      <w:r>
        <w:rPr>
          <w:rFonts w:ascii="Arial" w:hAnsi="Arial"/>
          <w:b w:val="0"/>
          <w:i w:val="0"/>
          <w:color w:val="000000"/>
          <w:sz w:val="22"/>
        </w:rPr>
        <w:t>CKI showed moderate cell-type classification performance (AUC = 0.680, ranked 5th of 5 methods; Table 1). The pair-level bootstrap 95% CI ([0.609, 0.745], B = 2,000) widens to [0.540, 0.804] under cell-type-entry clustering: the classification advantage is weak and resampling-unit dependent. The lower ranking is expected by design: CKI down-weights shared HK patterns to isolate functional divergence, trading global-identity sensitivity for identity-gene divergence. Critically, CKI was the only metric where same-organ different-cell-type pairs had higher values than different-organ different-cell-type pairs (mean ω 24.87, n = 1,038 vs. 20.80, n = 3,754; Mann-Whitney U, P &lt; 0.001); all four standard metrics showed the opposite pattern. A component decomposition tempers the reversal’s functional reading: same-organ pairs have indistinguishable k_f (0.247 vs. 0.250, P = 0.60) but lower k_n (0.0130 vs. 0.0148, P = 3.0 × 10⁻¹⁶), contributing +0.176 on the log scale (factor 1.19)—essentially all of the reversal. The reversal therefore indicates a more stable housekeeping baseline within organs, not greater functional specialization of same-organ cell types.</w:t>
      </w:r>
    </w:p>
    <w:p>
      <w:pPr>
        <w:pStyle w:val="Heading2"/>
        <w:spacing w:before="420" w:after="160"/>
      </w:pPr>
      <w:r>
        <w:rPr>
          <w:rFonts w:ascii="Arial" w:hAnsi="Arial"/>
          <w:color w:val="000000"/>
          <w:sz w:val="24"/>
          <w:b/>
        </w:rPr>
        <w:t>Ground-truth simulation: specificity versus sensitivity</w:t>
      </w:r>
    </w:p>
    <w:p>
      <w:pPr>
        <w:spacing w:line="276" w:lineRule="auto" w:after="80"/>
        <w:ind w:firstLine="0"/>
      </w:pPr>
      <w:r>
        <w:rPr>
          <w:rFonts w:ascii="Arial" w:hAnsi="Arial"/>
          <w:b w:val="0"/>
          <w:i w:val="0"/>
          <w:color w:val="000000"/>
          <w:sz w:val="22"/>
        </w:rPr>
        <w:t>No real dataset provides pairs with known functional divergence, so we built a semi-synthetic ground truth by injecting known perturbations into a real background (Tabula Muris FACS marrow B cells; both groups resampled from the same cell type, so true pre-injection divergence is zero; Methods). Under pure neutral housekeeping drift, raw JS and cosine exceeded their null thresholds in 55% and 58% of replicates, whereas ω produced none (2% under global overdispersion; pooled neutral replicates: ω 2 of 250, Clopper-Pearson 95% CI [0.001, 0.029]; raw JS 0.553 [0.470, 0.635]; cosine 0.580 [0.497, 0.660]). Conversely, detecting an injected functional module required strong signals: at δ = 1 (twofold shift on 200 genes) ω detected none of 150 replicates (k_f alone 2; raw JS 99%; cosine 67%); only at δ = 2 did ω reach 13%. This insensitivity is structural: per-pair top-200 selection saturates with noise even under the null (median baseline k_f = 0.025), so weak shifts do not lift k_f above the selection floor—simulation-level confirmation that k_f is an upper-bound estimator. When signal and neutral drift co-occurred (δ = 0.5, η = 0.25–1), ω detection was further suppressed by the inflated denominator, whereas cosine and raw JS rose from 14% to 100% because they count neutral drift as divergence. Because the neutral-drift null is itself HK-defined—CKI’s own anchoring assumption—two adversarial scenarios quantify the boundary (Supplementary Note 1). With the module placed on HK genes, ω detected none (rate 0.000 at every δ ≥ 0.25; k_n itself fired at 0.61–1.00): ω is structurally blind to functional change on its anchor genes. Conversely, under expression-matched low-variance non-HK drift (N1 control), ω stayed at its calibrated false-positive rate (0.000–0.067 across η) while raw JS and cosine inflated to 0.81–1.00 at moderate-to-strong drift: the ratio cancels global compositional drift wherever it acts, so ω’s specificity is not an HK-anchoring artifact (Supplementary Note 5).</w:t>
      </w:r>
    </w:p>
    <w:p>
      <w:pPr>
        <w:spacing w:line="276" w:lineRule="auto" w:after="80"/>
        <w:ind w:firstLine="0"/>
      </w:pPr>
      <w:r>
        <w:rPr>
          <w:rFonts w:ascii="Arial" w:hAnsi="Arial"/>
          <w:b w:val="0"/>
          <w:i w:val="0"/>
          <w:color w:val="000000"/>
          <w:sz w:val="22"/>
        </w:rPr>
        <w:t>Integrating specificity and sensitivity, ω best discriminated functional (δ ≥ 0.25) from neutral perturbations (AUC = 0.80, versus 0.72 for k_f alone, 0.64 for raw JS, 0.58 for cosine, and 0.21 for k_n alone; bootstrap 95% CI 0.804 [0.777, 0.831], the advantage over k_f holding in 100% of resamples): the apparent power of the standard metrics is purchased with false positives on neutral drift. The ratio construction also conferred robustness to technical asymmetry: under a fourfold cell-count imbalance, ω changed by −32% while k_f inflated by +67% and cosine by +108%, and neither 30% dropout nor a twofold depth difference produced a systematic shift. These results delimit the intended use of ω: a specificity-first screen whose construction rejects neutral drift, at the cost of bounded power for weak-to-moderate functional signals (Supplementary Note 1). That power bound is background-dependent: the second background below has a lower k_f selection floor (median baseline k_f 0.011 versus 0.025), and at δ = 1 ω detection reached 0.91 there versus 0.00 in marrow.</w:t>
      </w:r>
    </w:p>
    <w:p>
      <w:pPr>
        <w:spacing w:line="276" w:lineRule="auto" w:after="80"/>
        <w:ind w:firstLine="0"/>
      </w:pPr>
      <w:r>
        <w:rPr>
          <w:rFonts w:ascii="Arial" w:hAnsi="Arial"/>
          <w:b w:val="0"/>
          <w:i w:val="0"/>
          <w:color w:val="000000"/>
          <w:sz w:val="22"/>
        </w:rPr>
        <w:t>The entire simulation was repeated in a second Tabula Muris FACS background—skin keratinocyte stem cells (1,371 cells; epithelial lineage)—with the identical design (1,750 replicates; Methods). The ω advantage was fully reproduced: AUC(ω) = 0.908 versus AUC(k_f) = 0.859, with the same metric ranking in both backgrounds and ω AUC gains over k_f of +0.088 (marrow) and +0.049 (skin). Limitations replicated too: under strong confounding (δ = 0.5, η ≥ 0.25) both ω and k_f fell below threshold, and under the fourfold imbalance k_f retained higher power (0.98–1.00 versus 0.04–0.20), because the ratio adds k_n denominator variance—the flip side of its neutral-drift immunity. The advantage of ω thus lies in discriminating functional signal from neutral drift, not in raw detection power for uncontaminated signals.</w:t>
      </w:r>
    </w:p>
    <w:p>
      <w:pPr>
        <w:pStyle w:val="Heading2"/>
        <w:spacing w:before="420" w:after="160"/>
      </w:pPr>
      <w:r>
        <w:rPr>
          <w:rFonts w:ascii="Arial" w:hAnsi="Arial"/>
          <w:color w:val="000000"/>
          <w:sz w:val="24"/>
          <w:b/>
        </w:rPr>
        <w:t>Real-data neutral-drift calibration on technical replicates</w:t>
      </w:r>
    </w:p>
    <w:p>
      <w:pPr>
        <w:spacing w:line="276" w:lineRule="auto" w:after="80"/>
        <w:ind w:firstLine="0"/>
      </w:pPr>
      <w:r>
        <w:rPr>
          <w:rFonts w:ascii="Arial" w:hAnsi="Arial"/>
          <w:b w:val="0"/>
          <w:i w:val="0"/>
          <w:color w:val="000000"/>
          <w:sz w:val="22"/>
        </w:rPr>
        <w:t xml:space="preserve">The simulation’s neutral-drift benchmark concerns synthetic drift; we therefore tested the same specificity property on real technical replicates with a ground truth of no functional difference, using a per-pair size-matched (n-matched) cell-shuffle null: the nuclei of the two libraries being compared are pooled, permuted, and re-split into disjoint subsets of exactly the observed group sizes, so each pair is calibrated against its own sampling-noise distribution (B = 200 per pair; Methods). In the first batch of the IFN-β PBMC dataset </w:t>
      </w:r>
      <w:r>
        <w:rPr>
          <w:rFonts w:ascii="Arial" w:hAnsi="Arial"/>
          <w:b w:val="0"/>
          <w:i w:val="0"/>
          <w:color w:val="000000"/>
          <w:sz w:val="22"/>
          <w:vertAlign w:val="superscript"/>
        </w:rPr>
        <w:t>14</w:t>
      </w:r>
      <w:r>
        <w:rPr>
          <w:rFonts w:ascii="Arial" w:hAnsi="Arial"/>
          <w:b w:val="0"/>
          <w:i w:val="0"/>
          <w:color w:val="000000"/>
          <w:sz w:val="22"/>
        </w:rPr>
        <w:t>—eight unstimulated donors captured across three 10x lanes such that every donor appears in exactly two lanes—the resulting 30 same-donor, same-condition cross-lane pairs provide clean technical replicates. Here ω was fully calibrated: no pair exceeded its own null 95th percentile (0 of 30, Wilson 95% CI [0.000, 0.114]), with a median calibration ratio (observed / null median) of 0.963 (IQR [0.918, 0.998]), whereas raw JS misreported 36.7% of the pairs (11 of 30, CI [0.219, 0.545]) and cosine distance 23.3% (7 of 30, CI [0.118, 0.409]) as divergence (Fig. 4d).</w:t>
      </w:r>
    </w:p>
    <w:p>
      <w:pPr>
        <w:spacing w:line="276" w:lineRule="auto" w:after="80"/>
        <w:ind w:firstLine="0"/>
      </w:pPr>
      <w:r>
        <w:rPr>
          <w:rFonts w:ascii="Arial" w:hAnsi="Arial"/>
          <w:b w:val="0"/>
          <w:i w:val="0"/>
          <w:color w:val="000000"/>
          <w:sz w:val="22"/>
        </w:rPr>
        <w:t xml:space="preserve">The same design scales to the brain atlas, where 606 10x libraries are nested within (donor, region) combinations, yielding a four-tier drift ladder of library-level pairs within each cell type: same-library splits are embedded in the per-pair null; T1 pairs two libraries of the same donor, region, and cell type (pure technical drift; 2,161 pairs); T2 crosses donors within a region (technical plus inter-individual drift; 1,089 pairs); T3 crosses regions within a donor (regional biology; positive control; 1,656 pairs) </w:t>
      </w:r>
      <w:r>
        <w:rPr>
          <w:rFonts w:ascii="Arial" w:hAnsi="Arial"/>
          <w:b w:val="0"/>
          <w:i w:val="0"/>
          <w:color w:val="000000"/>
          <w:sz w:val="22"/>
          <w:vertAlign w:val="superscript"/>
        </w:rPr>
        <w:t>12</w:t>
      </w:r>
      <w:r>
        <w:rPr>
          <w:rFonts w:ascii="Arial" w:hAnsi="Arial"/>
          <w:b w:val="0"/>
          <w:i w:val="0"/>
          <w:color w:val="000000"/>
          <w:sz w:val="22"/>
        </w:rPr>
        <w:t>. On T1, ω had the lowest misreporting rate of the seven metrics except marker Jaccard (FPR 28.6%, CI [26.8, 30.6], versus 45.2% for raw JS, 44.1% for cosine, 40.6% for Spearman distance, 37.6% for k_f alone, and 35.7% for k_n; Fig. 4b, c), and ω was below raw JS in 10 of 10 cell classes (below cosine in 9 of 10, below Spearman in 8 of 10; per-class raw-JS-to-ω FPR ratios 1.2–2.3). Marker Jaccard distance also showed a low T1 FPR (19.9%) but the smallest response to genuine regional divergence (T3 calibration ratio 1.41 versus 1.80 for ω and 2.98 for raw JS), so its apparent specificity is purchased with the weakest sensitivity to real signal. At T2 the picture is not immunity but relative calibration: all metrics fire on most pairs (donor differences contain real biology), and ω again misreported least (90.9% versus 98.4–98.7% for raw JS and k_f; calibration ratio 1.76 versus 3.32 and 3.22). At T3, every metric rose (ω calibration 1.80; raw JS 2.98), confirming that ω retains sensitivity to regional biology—across the ladder the ω calibration gradient is the shallowest of all metrics (1.04 → 1.76 → 1.80, versus 1.07 → 3.32 → 2.98 for raw JS), so ω best separates technical drift from biology in relative terms, not absolutely.</w:t>
      </w:r>
    </w:p>
    <w:p>
      <w:pPr>
        <w:spacing w:line="276" w:lineRule="auto" w:after="80"/>
        <w:ind w:firstLine="0"/>
      </w:pPr>
      <w:r>
        <w:rPr>
          <w:rFonts w:ascii="Arial" w:hAnsi="Arial"/>
          <w:b w:val="0"/>
          <w:i w:val="0"/>
          <w:color w:val="000000"/>
          <w:sz w:val="22"/>
        </w:rPr>
        <w:t>Two honest qualifications temper the brain result. First, the absolute ω FPR is not zero, and it grows with group size—from 14.1% for pairs with at most 30 nuclei per library to 48.0% for pairs exceeding 500 (raw JS from 28.6% to 72.5%)—indicating a real library-level technical component (capture efficiency, depth) that grows detectable with power and that the k_n denominator absorbs only partially: on T1 the k_n calibration itself sits at 1.05, so the housekeeping anchor removes most but not all of the drift. Second, a minority of cell classes show gene-specific library effects that the anchor cannot absorb: choroid plexus (9 pairs, median calibration 2.31) and Bergmann glia (27 pairs, 1.16) exceed the null most strongly—in choroid plexus, two libraries of the same donor, region, and type differ in k_f by up to 137-fold. The ladder thereby also quantifies the library-level structure that the block-shuffle null retains by design (Methods): the Bergmann-glia block-shuffle null mean (21.9) lying far above its split-half baseline (9.7) reflects precisely this within-donor, within-region technical divergence. The simulation-level claim of absolute neutral-drift immunity thus transfers to real data only as a relative-calibration advantage—lowest misreporting among all compared metrics at every tier, with sensitivity to genuine regional divergence preserved (Fig. 4; audit trails in the companion repository; Section 3.20 of the Supplementary Information).</w:t>
      </w:r>
    </w:p>
    <w:p>
      <w:pPr>
        <w:pStyle w:val="Heading2"/>
        <w:spacing w:before="420" w:after="160"/>
      </w:pPr>
      <w:r>
        <w:rPr>
          <w:rFonts w:ascii="Arial" w:hAnsi="Arial"/>
          <w:color w:val="000000"/>
          <w:sz w:val="24"/>
          <w:b/>
        </w:rPr>
        <w:t>Real perturbation demonstration: IFN-β-stimulated PBMCs</w:t>
      </w:r>
    </w:p>
    <w:p>
      <w:pPr>
        <w:spacing w:line="276" w:lineRule="auto" w:after="80"/>
        <w:ind w:firstLine="0"/>
      </w:pPr>
      <w:r>
        <w:rPr>
          <w:rFonts w:ascii="Arial" w:hAnsi="Arial"/>
          <w:b w:val="0"/>
          <w:i w:val="0"/>
          <w:color w:val="000000"/>
          <w:sz w:val="22"/>
        </w:rPr>
        <w:t xml:space="preserve">How ω behaves on a real perturbation whose effect on the housekeeping anchor is unknown was tested on peripheral blood mononuclear cells from eight donors, control versus 6-hour IFN-β stimulation </w:t>
      </w:r>
      <w:r>
        <w:rPr>
          <w:rFonts w:ascii="Arial" w:hAnsi="Arial"/>
          <w:b w:val="0"/>
          <w:i w:val="0"/>
          <w:color w:val="000000"/>
          <w:sz w:val="22"/>
          <w:vertAlign w:val="superscript"/>
        </w:rPr>
        <w:t>14</w:t>
      </w:r>
      <w:r>
        <w:rPr>
          <w:rFonts w:ascii="Arial" w:hAnsi="Arial"/>
          <w:b w:val="0"/>
          <w:i w:val="0"/>
          <w:color w:val="000000"/>
          <w:sz w:val="22"/>
        </w:rPr>
        <w:t xml:space="preserve"> (24,413 cells, six cell types; pseudobulk per donor and condition; Methods). Because the two conditions were captured in separate 10x lanes, condition is fully confounded with lane for every metric; we therefore read the analysis as a relative architecture demonstration, not an absolute detection claim. Under that reading, the perturbation was visible at the ω level in all six cell types: median within-donor stimulated-versus-control ω exceeded median donor-versus-donor ω by 1.1–2.0-fold (1.8–3.4-fold above the split-half baseline); the within-donor permutation test reached raw P &lt; 0.05 in 15 of 37 tests (no multiplicity correction; the aggregate excess over the ~2 of 37 expected under the global null is informative, individual tests are not). However, k_f alone separated perturbation from donor drift as well or better (rank AUC: ω 0.55–0.92, k_f 0.74–1.00, raw JS 0.79–1.00); in CD14+ monocytes ω AUC fell to 0.55 while k_f retained 0.98. The components are consistent with the anchor-visibility mechanism—stimulation raises housekeeping expression itself (median k_n rises 1.2–5.7-fold)—so the denominator inflates and partially cancels the functional signal, most strongly in monocytes. The demonstration thus supports, within a lane-confounded design, the anchor-visibility boundary in the decision rules (when the perturbation touches the anchor, the ratio deflates and k_f-only with a design-matched null is the more honest statistic), while ω tracks real perturbation above donor drift when the anchor is unaffected (Supplementary Fig. 3; Supplementary Note 6).</w:t>
      </w:r>
    </w:p>
    <w:p>
      <w:pPr>
        <w:pStyle w:val="Heading2"/>
        <w:spacing w:before="420" w:after="160"/>
      </w:pPr>
      <w:r>
        <w:rPr>
          <w:rFonts w:ascii="Arial" w:hAnsi="Arial"/>
          <w:color w:val="000000"/>
          <w:sz w:val="24"/>
          <w:b/>
        </w:rPr>
        <w:t>Benchmarking against perturbation-response metrics</w:t>
      </w:r>
    </w:p>
    <w:p>
      <w:pPr>
        <w:spacing w:line="276" w:lineRule="auto" w:after="80"/>
        <w:ind w:firstLine="0"/>
      </w:pPr>
      <w:r>
        <w:rPr>
          <w:rFonts w:ascii="Arial" w:hAnsi="Arial"/>
          <w:b w:val="0"/>
          <w:i w:val="0"/>
          <w:color w:val="000000"/>
          <w:sz w:val="22"/>
        </w:rPr>
        <w:t xml:space="preserve">We benchmarked CKI against MELD (v1.0.2) and scDist on the Kang IFN-β dataset </w:t>
      </w:r>
      <w:r>
        <w:rPr>
          <w:rFonts w:ascii="Arial" w:hAnsi="Arial"/>
          <w:b w:val="0"/>
          <w:i w:val="0"/>
          <w:color w:val="000000"/>
          <w:sz w:val="22"/>
          <w:vertAlign w:val="superscript"/>
        </w:rPr>
        <w:t>14</w:t>
      </w:r>
      <w:r>
        <w:rPr>
          <w:rFonts w:ascii="Arial" w:hAnsi="Arial"/>
          <w:b w:val="0"/>
          <w:i w:val="0"/>
          <w:color w:val="000000"/>
          <w:sz w:val="22"/>
        </w:rPr>
        <w:t xml:space="preserve"> (GEO: GSE96583); because scDist is R-only, we implemented a Python approximation (per-PC condition fixed-effect regression with donor covariates; distance = √Σβ²λ), labelled as such below. CKI and MELD agreed on effect direction in 6 of 6 cell types; MELD’s within-type separation was near-saturated (AUC 0.997–0.9998), leaving no gradient to compare, and per-type rankings were effectively unrelated (ρ ≤ 0.77): direction agrees, ordering does not. In an additive mean-shift simulation (fold changes of 2, 4, and 8 on 100 or 500 genes; 20 replicates), MELD and the scDist approximation detected every configuration (sensitivity 1.00; false-positive rates ≤ 0.05), whereas CKI ω rose from AUC 0.52 to 0.79 as the shift grew on 100 genes but collapsed to 0.05–0.13 on 500 genes—at 500 shifted genes the anchor k_n itself responds (k_n AUC = 1.000) and the ratio is annihilated by its denominator. ω therefore measures divergence in excess of the anchor and is, by design, insensitive to perturbations that move the anchor itself; users seeking maximal detection power for broad perturbations should use MELD, scDist, or CKI’s own k_f component. CKI’s working range is also bounded: donor-paired power falls from 0.67–0.93 at 50 cells per donor per condition to ≈ 0 at 500 and above (operating window ~50–200 cells; limitations are addressed in the Discussion).</w:t>
      </w:r>
    </w:p>
    <w:p>
      <w:pPr>
        <w:pStyle w:val="Heading2"/>
        <w:spacing w:before="420" w:after="160"/>
      </w:pPr>
      <w:r>
        <w:rPr>
          <w:rFonts w:ascii="Arial" w:hAnsi="Arial"/>
          <w:color w:val="000000"/>
          <w:sz w:val="24"/>
          <w:b/>
        </w:rPr>
        <w:t>Fixed-panel ablation: robust rankings, scheme-specific ω</w:t>
      </w:r>
    </w:p>
    <w:p>
      <w:pPr>
        <w:spacing w:line="276" w:lineRule="auto" w:after="80"/>
        <w:ind w:firstLine="0"/>
      </w:pPr>
      <w:r>
        <w:rPr>
          <w:rFonts w:ascii="Arial" w:hAnsi="Arial"/>
          <w:b w:val="0"/>
          <w:i w:val="0"/>
          <w:color w:val="000000"/>
          <w:sz w:val="22"/>
        </w:rPr>
        <w:t>The reference implementation first reproduced the reported landscape exactly (maximum per-pair |Δω| = 6.4 × 10⁻¹³ over all 31,764 pairs). Non-circular panels left rankings essentially untouched: pair-level ω under leave-pair-out correlated with the reported scheme at ρ = 0.937 (0.918 fixed 2,000-gene panel; 0.931 all 5,000 non-HK genes), the ten class means at ρ = 0.99 under leave-pair-out (0.90 and 0.93 fixed and unselected). The astrocyte-to-Bergmann-glia gradient was preserved and, under leave-pair-out, amplified (6.10-fold reported; 6.53-fold leave-pair-out, 7.67-fold fixed panel, 6.57-fold unselected), because non-circular panels deflate ω more strongly in transcriptionally constrained classes. Class-level significance was largely robust under a scheme-matched block-shuffle null (B = 200) with leave-pair-out panels: astrocytes, OPCs, and committed OPCs remained at the permutation floor, fibroblasts remained significant (P = 0.020), vascular cells reached significance (P = 0.035), and the remaining classes stayed non-significant.</w:t>
      </w:r>
    </w:p>
    <w:p>
      <w:pPr>
        <w:spacing w:line="276" w:lineRule="auto" w:after="80"/>
        <w:ind w:firstLine="0"/>
      </w:pPr>
      <w:r>
        <w:rPr>
          <w:rFonts w:ascii="Arial" w:hAnsi="Arial"/>
          <w:b w:val="0"/>
          <w:i w:val="0"/>
          <w:color w:val="000000"/>
          <w:sz w:val="22"/>
        </w:rPr>
        <w:t>The ablation also quantifies what circular selection costs. On the same pairs, the circular panel inflated k_f by a median of 1.61-fold relative to the leave-pair-out panel (IQR 1.27–2.07) and by 6.1- and 7.3-fold relative to the fixed and unselected panels, confirming that reported k_f magnitudes—and therefore absolute ω—are upper-bound estimates whose scale is scheme-specific (grand mean 38.55 reported; 26.5 leave-pair-out; 6.5 fixed; 5.3 unselected). Rank-based conclusions are robust (the multiplicative-residual ranking underlying the region-association screen correlated at ρ = 0.86–0.88 across schemes), but absolute thresholds do not transfer: the tier cutoffs (ω &lt; 15/25/35) are calibrated to the reported scheme’s inflated scale, so cross-scheme comparisons must use ranks (Supplementary Note 7).</w:t>
      </w:r>
    </w:p>
    <w:p>
      <w:pPr>
        <w:pStyle w:val="Heading2"/>
        <w:spacing w:before="420" w:after="160"/>
      </w:pPr>
      <w:r>
        <w:rPr>
          <w:rFonts w:ascii="Arial" w:hAnsi="Arial"/>
          <w:color w:val="000000"/>
          <w:sz w:val="24"/>
          <w:b/>
        </w:rPr>
        <w:t>A pan-cancer map of tissue-level functional divergence in tumors</w:t>
      </w:r>
    </w:p>
    <w:p>
      <w:pPr>
        <w:spacing w:line="276" w:lineRule="auto" w:after="80"/>
        <w:ind w:firstLine="0"/>
      </w:pPr>
      <w:r>
        <w:rPr>
          <w:rFonts w:ascii="Arial" w:hAnsi="Arial"/>
          <w:b w:val="0"/>
          <w:i w:val="0"/>
          <w:color w:val="000000"/>
          <w:sz w:val="22"/>
        </w:rPr>
        <w:t xml:space="preserve">We applied CKI to TCGA bulk RNA-seq data across five cancer types (LUAD, LUSC, LIHC, KIRC, BRCA) </w:t>
      </w:r>
      <w:r>
        <w:rPr>
          <w:rFonts w:ascii="Arial" w:hAnsi="Arial"/>
          <w:b w:val="0"/>
          <w:i w:val="0"/>
          <w:color w:val="000000"/>
          <w:sz w:val="22"/>
          <w:vertAlign w:val="superscript"/>
        </w:rPr>
        <w:t>10,11</w:t>
      </w:r>
      <w:r>
        <w:rPr>
          <w:rFonts w:ascii="Arial" w:hAnsi="Arial"/>
          <w:b w:val="0"/>
          <w:i w:val="0"/>
          <w:color w:val="000000"/>
          <w:sz w:val="22"/>
        </w:rPr>
        <w:t>, totalling 3,596 samples, and asked how tissue-level functional divergence is reorganized when cancer develops. Because bulk RNA-seq averages over tumor, stromal, and immune compartments, ω here quantifies divergence between tissue states rather than between cell types; we therefore compare tumor–tumor (TT), normal–normal (NN), and tumor–normal (TN) pairs within each cancer type (Fig. 5; Supplementary Fig. 4). A consistent pan-cancer reversal emerged: in all five cancer types, NN pairs were more divergent than TT pairs—the ratio of mean NN to mean TT ω ranked LUAD 2.46 (95% CI 2.13–2.86; sample-level cluster bootstrap, B = 1,000), KIRC 1.90 (1.65–2.17), LUSC 1.82 (1.46–2.25), BRCA 1.57 (1.35–1.83), and LIHC 1.13 (0.97–1.34)—with the CI excluding 1 in four of five cancers (Mann-Whitney P = 1.2 × 10⁻²³⁸ to 2.6 × 10⁻⁷⁵; LIHC P = 9.9 × 10⁻³, CI including 1). Component decomposition identified the mechanism: in every cancer type the housekeeping baseline was elevated in tumors—TT k_n exceeded NN k_n by 2.1–3.6-fold at the median (mean-ratio 95% CIs excluding 1 in all five cancers, e.g. KIRC 3.21 [2.51, 4.28], LIHC 1.41 [1.08, 1.98])—whereas TT k_f was equal to or higher than NN k_f (e.g. LUAD 0.282 versus 0.226). The reversal therefore reflects a more stable housekeeping baseline among adjacent non-tumor specimens, not smaller functional-gene divergence of tumor cells (Fig. 5a).</w:t>
      </w:r>
    </w:p>
    <w:p>
      <w:pPr>
        <w:spacing w:line="276" w:lineRule="auto" w:after="80"/>
        <w:ind w:firstLine="0"/>
      </w:pPr>
      <w:r>
        <w:rPr>
          <w:rFonts w:ascii="Arial" w:hAnsi="Arial"/>
          <w:b w:val="0"/>
          <w:i w:val="0"/>
          <w:color w:val="000000"/>
          <w:sz w:val="22"/>
        </w:rPr>
        <w:t>To ask whether the ratio resolves biologically distinct tumor states, we stratified LUAD tumors by driver mutation (EGFR-mutant n = 61, KRAS-mutant n = 120, wild-type n = 311; double mutants, n = 2, excluded) using per-tumor ω (the mean over each tumor’s within-cohort TT pairs; Fig. 5b). KRAS-mutant tumors showed the highest tissue-level divergence (mean ω = 136.9), exceeding wild-type (115.4; Kruskal-Wallis across groups P = 7.8 × 10⁻⁷; Dunn–Holm P = 3.6 × 10⁻⁷) and EGFR-mutant tumors (122.2; Dunn–Holm P = 0.008), while EGFR-mutant and wild-type tumors did not differ significantly (Dunn–Holm P = 0.39; bootstrap difference 6.8, 95% CI −2.1 to 15.2). The k_f/k_n decomposition separated the two drivers’ associations mechanistically (Fig. 5c,d): the KRAS contrast carried a functional component—k_f was elevated in KRAS-mutant tumors (KRAS versus EGFR, Dunn–Holm P = 0.015; KRAS−WT k_f difference 0.011, 95% CI 0.002–0.019)—accompanied by a lower k_n (WT &gt; KRAS, Dunn–Holm P = 4.2 × 10⁻⁴), both of which raise the ratio; the EGFR association, by contrast, showed no k_f difference (all Holm-adjusted P &gt; 0.09) and was visible only in the k_n baseline (WT &gt; EGFR, P = 0.09). That a single bulk-level statistic, read through its components, distinguishes a functionally divergent driver class (KRAS) from a baseline-driven one (EGFR) is precisely the decomposition CKI is designed to provide—although these are observational associations without patient-level covariate adjustment (no age, sex, or smoking metadata were available locally), and tumor purity differences between driver classes cannot be excluded. Within-cancer-type stratification analyses beyond LUAD (LIHC Edmondson grade, BRCA PAM50) are reported as denominator-dominated vignettes in the Supplementary Information (Supplementary Note 9; Supplementary Fig. 4b), because both orderings reverse under k_f alone.</w:t>
      </w:r>
    </w:p>
    <w:p>
      <w:pPr>
        <w:spacing w:line="276" w:lineRule="auto" w:after="80"/>
        <w:ind w:firstLine="0"/>
      </w:pPr>
      <w:r>
        <w:rPr>
          <w:rFonts w:ascii="Arial" w:hAnsi="Arial"/>
          <w:b w:val="0"/>
          <w:i w:val="0"/>
          <w:color w:val="000000"/>
          <w:sz w:val="22"/>
        </w:rPr>
        <w:t>Three controls bound the interpretation of the pan-cancer reversal. First, a four-panel marker composition check (immune, myeloid, stromal, epithelial) with sample-level cluster bootstrap found the pooled tumor-pair k_n coefficient essentially unchanged after composition adjustment (−1.2%, bootstrap 95% CI −4.1% to +2.6%; per cancer type −16% to +37%), so marker-measurable composition explains little of the pooled reversal, though as a noisy proxy it bounds rather than settles the question (Supplementary Note 8). Second, all reported TCGA statistics were recomputed under a linear probability mapping (p_i = (TPM + 1)/Σ(TPM + 1), replacing the softmax-over-log2 map): the reversal, its ranking, the k_n elevation, and the LUAD mutation gradient all survived with quantitatively similar effect sizes (Methods). Third, the k_f/k_n decomposition itself localizes the reversal in the denominator, which composition adjustment of k_n leaves intact. Remaining limitations are inherent to bulk resolution: TCGA “normal” samples are adjacent non-tumor tissues from cancer patients, not healthy donor tissue, so NN comparisons quantify heterogeneity among adjacent non-tumor specimens; RNA quality differences between tumor and normal specimens cannot be excluded; and per-tumor ω was not associated with overall survival in LIHC (Cox hazard ratio per SD 1.06, 95% CI 0.85–1.32, P = 0.59, adjusted for stage, grade, age, and sex; Methods), so the reversal is a descriptive property of tissue-state divergence, not a prognostic marker. We report all TCGA findings as tissue-level functional divergence at bulk resolution, pending single-cell or deconvolution-based validation.</w:t>
      </w:r>
    </w:p>
    <w:p>
      <w:pPr>
        <w:pStyle w:val="Heading2"/>
        <w:spacing w:before="420" w:after="160"/>
      </w:pPr>
      <w:r>
        <w:rPr>
          <w:rFonts w:ascii="Arial" w:hAnsi="Arial"/>
          <w:color w:val="000000"/>
          <w:sz w:val="24"/>
          <w:b/>
        </w:rPr>
        <w:t>CKI ranks cell types by cross-organ conservation</w:t>
      </w:r>
    </w:p>
    <w:p>
      <w:pPr>
        <w:spacing w:before="420" w:after="160"/>
      </w:pPr>
      <w:r>
        <w:rPr>
          <w:rFonts w:ascii="Arial" w:hAnsi="Arial"/>
          <w:b/>
          <w:sz w:val="22"/>
        </w:rPr>
        <w:t>Table 2. Cross-organ conservation ranking by cell type (Tabula Sapiens, n=59 same-cell-type cross-organ pairs). Well-sampled cell types (n ≥ 5 cross-organ pairs) are ranked first by mean ω; sparsely sampled cell types (n &lt; 5 pairs; SD shown only where n &gt; 1) are listed below the divider, and their rankings should be interpreted as suggestive only. k_f-only controls for this ranking are reported in Supplementary Note 9.</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CD8+ T cell</w:t>
            </w:r>
          </w:p>
        </w:tc>
        <w:tc>
          <w:tcPr>
            <w:tcW w:type="dxa" w:w="2351"/>
          </w:tcPr>
          <w:p>
            <w:r>
              <w:t>9.93</w:t>
            </w:r>
          </w:p>
        </w:tc>
        <w:tc>
          <w:tcPr>
            <w:tcW w:type="dxa" w:w="2351"/>
          </w:tcPr>
          <w:p>
            <w:r>
              <w:t>4.62</w:t>
            </w:r>
          </w:p>
        </w:tc>
        <w:tc>
          <w:tcPr>
            <w:tcW w:type="dxa" w:w="2351"/>
          </w:tcPr>
          <w:p>
            <w:r>
              <w:t>6</w:t>
            </w:r>
          </w:p>
        </w:tc>
      </w:tr>
      <w:tr>
        <w:tc>
          <w:tcPr>
            <w:tcW w:type="dxa" w:w="2351"/>
          </w:tcPr>
          <w:p>
            <w:r>
              <w:t>Plasma cell</w:t>
            </w:r>
          </w:p>
        </w:tc>
        <w:tc>
          <w:tcPr>
            <w:tcW w:type="dxa" w:w="2351"/>
          </w:tcPr>
          <w:p>
            <w:r>
              <w:t>10.20</w:t>
            </w:r>
          </w:p>
        </w:tc>
        <w:tc>
          <w:tcPr>
            <w:tcW w:type="dxa" w:w="2351"/>
          </w:tcPr>
          <w:p>
            <w:r>
              <w:t>2.03</w:t>
            </w:r>
          </w:p>
        </w:tc>
        <w:tc>
          <w:tcPr>
            <w:tcW w:type="dxa" w:w="2351"/>
          </w:tcPr>
          <w:p>
            <w:r>
              <w:t>6</w:t>
            </w:r>
          </w:p>
        </w:tc>
      </w:tr>
      <w:tr>
        <w:tc>
          <w:tcPr>
            <w:tcW w:type="dxa" w:w="2351"/>
          </w:tcPr>
          <w:p>
            <w:r>
              <w:t>Neutrophil</w:t>
            </w:r>
          </w:p>
        </w:tc>
        <w:tc>
          <w:tcPr>
            <w:tcW w:type="dxa" w:w="2351"/>
          </w:tcPr>
          <w:p>
            <w:r>
              <w:t>14.22</w:t>
            </w:r>
          </w:p>
        </w:tc>
        <w:tc>
          <w:tcPr>
            <w:tcW w:type="dxa" w:w="2351"/>
          </w:tcPr>
          <w:p>
            <w:r>
              <w:t>8.49</w:t>
            </w:r>
          </w:p>
        </w:tc>
        <w:tc>
          <w:tcPr>
            <w:tcW w:type="dxa" w:w="2351"/>
          </w:tcPr>
          <w:p>
            <w:r>
              <w:t>6</w:t>
            </w:r>
          </w:p>
        </w:tc>
      </w:tr>
      <w:tr>
        <w:tc>
          <w:tcPr>
            <w:tcW w:type="dxa" w:w="2351"/>
          </w:tcPr>
          <w:p>
            <w:r>
              <w:t>Macrophage</w:t>
            </w:r>
          </w:p>
        </w:tc>
        <w:tc>
          <w:tcPr>
            <w:tcW w:type="dxa" w:w="2351"/>
          </w:tcPr>
          <w:p>
            <w:r>
              <w:t>15.49</w:t>
            </w:r>
          </w:p>
        </w:tc>
        <w:tc>
          <w:tcPr>
            <w:tcW w:type="dxa" w:w="2351"/>
          </w:tcPr>
          <w:p>
            <w:r>
              <w:t>8.46</w:t>
            </w:r>
          </w:p>
        </w:tc>
        <w:tc>
          <w:tcPr>
            <w:tcW w:type="dxa" w:w="2351"/>
          </w:tcPr>
          <w:p>
            <w:r>
              <w:t>15</w:t>
            </w:r>
          </w:p>
        </w:tc>
      </w:tr>
      <w:tr>
        <w:tc>
          <w:tcPr>
            <w:tcW w:type="dxa" w:w="2351"/>
          </w:tcPr>
          <w:p>
            <w:r>
              <w:t>NK cell</w:t>
            </w:r>
          </w:p>
        </w:tc>
        <w:tc>
          <w:tcPr>
            <w:tcW w:type="dxa" w:w="2351"/>
          </w:tcPr>
          <w:p>
            <w:r>
              <w:t>17.28</w:t>
            </w:r>
          </w:p>
        </w:tc>
        <w:tc>
          <w:tcPr>
            <w:tcW w:type="dxa" w:w="2351"/>
          </w:tcPr>
          <w:p>
            <w:r>
              <w:t>3.14</w:t>
            </w:r>
          </w:p>
        </w:tc>
        <w:tc>
          <w:tcPr>
            <w:tcW w:type="dxa" w:w="2351"/>
          </w:tcPr>
          <w:p>
            <w:r>
              <w:t>10</w:t>
            </w:r>
          </w:p>
        </w:tc>
      </w:tr>
      <w:tr>
        <w:tc>
          <w:tcPr>
            <w:tcW w:type="dxa" w:w="2351"/>
          </w:tcPr>
          <w:p>
            <w:r>
              <w:t>— Sparsely sampled (n &lt; 5 pairs): interpret with caution —</w:t>
            </w:r>
          </w:p>
        </w:tc>
        <w:tc>
          <w:tcPr>
            <w:tcW w:type="dxa" w:w="2351"/>
          </w:tcPr>
          <w:p>
            <w:r/>
          </w:p>
        </w:tc>
        <w:tc>
          <w:tcPr>
            <w:tcW w:type="dxa" w:w="2351"/>
          </w:tcPr>
          <w:p>
            <w:r/>
          </w:p>
        </w:tc>
        <w:tc>
          <w:tcPr>
            <w:tcW w:type="dxa" w:w="2351"/>
          </w:tcPr>
          <w:p>
            <w:r/>
          </w:p>
        </w:tc>
      </w:tr>
      <w:tr>
        <w:tc>
          <w:tcPr>
            <w:tcW w:type="dxa" w:w="2351"/>
          </w:tcPr>
          <w:p>
            <w:r>
              <w:t>Hepatocyte</w:t>
            </w:r>
          </w:p>
        </w:tc>
        <w:tc>
          <w:tcPr>
            <w:tcW w:type="dxa" w:w="2351"/>
          </w:tcPr>
          <w:p>
            <w:r>
              <w:t>8.57</w:t>
            </w:r>
          </w:p>
        </w:tc>
        <w:tc>
          <w:tcPr>
            <w:tcW w:type="dxa" w:w="2351"/>
          </w:tcPr>
          <w:p>
            <w:r>
              <w:t>—</w:t>
            </w:r>
          </w:p>
        </w:tc>
        <w:tc>
          <w:tcPr>
            <w:tcW w:type="dxa" w:w="2351"/>
          </w:tcPr>
          <w:p>
            <w:r>
              <w:t>1</w:t>
            </w:r>
          </w:p>
        </w:tc>
      </w:tr>
      <w:tr>
        <w:tc>
          <w:tcPr>
            <w:tcW w:type="dxa" w:w="2351"/>
          </w:tcPr>
          <w:p>
            <w:r>
              <w:t>B cell</w:t>
            </w:r>
          </w:p>
        </w:tc>
        <w:tc>
          <w:tcPr>
            <w:tcW w:type="dxa" w:w="2351"/>
          </w:tcPr>
          <w:p>
            <w:r>
              <w:t>9.36</w:t>
            </w:r>
          </w:p>
        </w:tc>
        <w:tc>
          <w:tcPr>
            <w:tcW w:type="dxa" w:w="2351"/>
          </w:tcPr>
          <w:p>
            <w:r>
              <w:t>—</w:t>
            </w:r>
          </w:p>
        </w:tc>
        <w:tc>
          <w:tcPr>
            <w:tcW w:type="dxa" w:w="2351"/>
          </w:tcPr>
          <w:p>
            <w:r>
              <w:t>1</w:t>
            </w:r>
          </w:p>
        </w:tc>
      </w:tr>
      <w:tr>
        <w:tc>
          <w:tcPr>
            <w:tcW w:type="dxa" w:w="2351"/>
          </w:tcPr>
          <w:p>
            <w:r>
              <w:t>Hematopoietic stem cell</w:t>
            </w:r>
          </w:p>
        </w:tc>
        <w:tc>
          <w:tcPr>
            <w:tcW w:type="dxa" w:w="2351"/>
          </w:tcPr>
          <w:p>
            <w:r>
              <w:t>11.12</w:t>
            </w:r>
          </w:p>
        </w:tc>
        <w:tc>
          <w:tcPr>
            <w:tcW w:type="dxa" w:w="2351"/>
          </w:tcPr>
          <w:p>
            <w:r>
              <w:t>—</w:t>
            </w:r>
          </w:p>
        </w:tc>
        <w:tc>
          <w:tcPr>
            <w:tcW w:type="dxa" w:w="2351"/>
          </w:tcPr>
          <w:p>
            <w:r>
              <w:t>1</w:t>
            </w:r>
          </w:p>
        </w:tc>
      </w:tr>
      <w:tr>
        <w:tc>
          <w:tcPr>
            <w:tcW w:type="dxa" w:w="2351"/>
          </w:tcPr>
          <w:p>
            <w:r>
              <w:t>Smooth muscle cell</w:t>
            </w:r>
          </w:p>
        </w:tc>
        <w:tc>
          <w:tcPr>
            <w:tcW w:type="dxa" w:w="2351"/>
          </w:tcPr>
          <w:p>
            <w:r>
              <w:t>12.22</w:t>
            </w:r>
          </w:p>
        </w:tc>
        <w:tc>
          <w:tcPr>
            <w:tcW w:type="dxa" w:w="2351"/>
          </w:tcPr>
          <w:p>
            <w:r>
              <w:t>—</w:t>
            </w:r>
          </w:p>
        </w:tc>
        <w:tc>
          <w:tcPr>
            <w:tcW w:type="dxa" w:w="2351"/>
          </w:tcPr>
          <w:p>
            <w:r>
              <w:t>1</w:t>
            </w:r>
          </w:p>
        </w:tc>
      </w:tr>
      <w:tr>
        <w:tc>
          <w:tcPr>
            <w:tcW w:type="dxa" w:w="2351"/>
          </w:tcPr>
          <w:p>
            <w:r>
              <w:t>Monocyte</w:t>
            </w:r>
          </w:p>
        </w:tc>
        <w:tc>
          <w:tcPr>
            <w:tcW w:type="dxa" w:w="2351"/>
          </w:tcPr>
          <w:p>
            <w:r>
              <w:t>15.19</w:t>
            </w:r>
          </w:p>
        </w:tc>
        <w:tc>
          <w:tcPr>
            <w:tcW w:type="dxa" w:w="2351"/>
          </w:tcPr>
          <w:p>
            <w:r>
              <w:t>—</w:t>
            </w:r>
          </w:p>
        </w:tc>
        <w:tc>
          <w:tcPr>
            <w:tcW w:type="dxa" w:w="2351"/>
          </w:tcPr>
          <w:p>
            <w:r>
              <w:t>1</w:t>
            </w:r>
          </w:p>
        </w:tc>
      </w:tr>
      <w:tr>
        <w:tc>
          <w:tcPr>
            <w:tcW w:type="dxa" w:w="2351"/>
          </w:tcPr>
          <w:p>
            <w:r>
              <w:t>CD4+ T cell</w:t>
            </w:r>
          </w:p>
        </w:tc>
        <w:tc>
          <w:tcPr>
            <w:tcW w:type="dxa" w:w="2351"/>
          </w:tcPr>
          <w:p>
            <w:r>
              <w:t>16.71</w:t>
            </w:r>
          </w:p>
        </w:tc>
        <w:tc>
          <w:tcPr>
            <w:tcW w:type="dxa" w:w="2351"/>
          </w:tcPr>
          <w:p>
            <w:r>
              <w:t>—</w:t>
            </w:r>
          </w:p>
        </w:tc>
        <w:tc>
          <w:tcPr>
            <w:tcW w:type="dxa" w:w="2351"/>
          </w:tcPr>
          <w:p>
            <w:r>
              <w:t>1</w:t>
            </w:r>
          </w:p>
        </w:tc>
      </w:tr>
      <w:tr>
        <w:tc>
          <w:tcPr>
            <w:tcW w:type="dxa" w:w="2351"/>
          </w:tcPr>
          <w:p>
            <w:r>
              <w:t>Classical monocyte</w:t>
            </w:r>
          </w:p>
        </w:tc>
        <w:tc>
          <w:tcPr>
            <w:tcW w:type="dxa" w:w="2351"/>
          </w:tcPr>
          <w:p>
            <w:r>
              <w:t>17.50</w:t>
            </w:r>
          </w:p>
        </w:tc>
        <w:tc>
          <w:tcPr>
            <w:tcW w:type="dxa" w:w="2351"/>
          </w:tcPr>
          <w:p>
            <w:r>
              <w:t>—</w:t>
            </w:r>
          </w:p>
        </w:tc>
        <w:tc>
          <w:tcPr>
            <w:tcW w:type="dxa" w:w="2351"/>
          </w:tcPr>
          <w:p>
            <w:r>
              <w:t>1</w:t>
            </w:r>
          </w:p>
        </w:tc>
      </w:tr>
      <w:tr>
        <w:tc>
          <w:tcPr>
            <w:tcW w:type="dxa" w:w="2351"/>
          </w:tcPr>
          <w:p>
            <w:r>
              <w:t>Naive B cell</w:t>
            </w:r>
          </w:p>
        </w:tc>
        <w:tc>
          <w:tcPr>
            <w:tcW w:type="dxa" w:w="2351"/>
          </w:tcPr>
          <w:p>
            <w:r>
              <w:t>21.06</w:t>
            </w:r>
          </w:p>
        </w:tc>
        <w:tc>
          <w:tcPr>
            <w:tcW w:type="dxa" w:w="2351"/>
          </w:tcPr>
          <w:p>
            <w:r>
              <w:t>—</w:t>
            </w:r>
          </w:p>
        </w:tc>
        <w:tc>
          <w:tcPr>
            <w:tcW w:type="dxa" w:w="2351"/>
          </w:tcPr>
          <w:p>
            <w:r>
              <w:t>1</w:t>
            </w:r>
          </w:p>
        </w:tc>
      </w:tr>
      <w:tr>
        <w:tc>
          <w:tcPr>
            <w:tcW w:type="dxa" w:w="2351"/>
          </w:tcPr>
          <w:p>
            <w:r>
              <w:t>Intermediate monocyte</w:t>
            </w:r>
          </w:p>
        </w:tc>
        <w:tc>
          <w:tcPr>
            <w:tcW w:type="dxa" w:w="2351"/>
          </w:tcPr>
          <w:p>
            <w:r>
              <w:t>21.78</w:t>
            </w:r>
          </w:p>
        </w:tc>
        <w:tc>
          <w:tcPr>
            <w:tcW w:type="dxa" w:w="2351"/>
          </w:tcPr>
          <w:p>
            <w:r>
              <w:t>—</w:t>
            </w:r>
          </w:p>
        </w:tc>
        <w:tc>
          <w:tcPr>
            <w:tcW w:type="dxa" w:w="2351"/>
          </w:tcPr>
          <w:p>
            <w:r>
              <w:t>1</w:t>
            </w:r>
          </w:p>
        </w:tc>
      </w:tr>
      <w:tr>
        <w:tc>
          <w:tcPr>
            <w:tcW w:type="dxa" w:w="2351"/>
          </w:tcPr>
          <w:p>
            <w:r>
              <w:t>Memory B cell</w:t>
            </w:r>
          </w:p>
        </w:tc>
        <w:tc>
          <w:tcPr>
            <w:tcW w:type="dxa" w:w="2351"/>
          </w:tcPr>
          <w:p>
            <w:r>
              <w:t>22.36</w:t>
            </w:r>
          </w:p>
        </w:tc>
        <w:tc>
          <w:tcPr>
            <w:tcW w:type="dxa" w:w="2351"/>
          </w:tcPr>
          <w:p>
            <w:r>
              <w:t>—</w:t>
            </w:r>
          </w:p>
        </w:tc>
        <w:tc>
          <w:tcPr>
            <w:tcW w:type="dxa" w:w="2351"/>
          </w:tcPr>
          <w:p>
            <w:r>
              <w:t>1</w:t>
            </w:r>
          </w:p>
        </w:tc>
      </w:tr>
      <w:tr>
        <w:tc>
          <w:tcPr>
            <w:tcW w:type="dxa" w:w="2351"/>
          </w:tcPr>
          <w:p>
            <w:r>
              <w:t>Endothelial cell</w:t>
            </w:r>
          </w:p>
        </w:tc>
        <w:tc>
          <w:tcPr>
            <w:tcW w:type="dxa" w:w="2351"/>
          </w:tcPr>
          <w:p>
            <w:r>
              <w:t>26.25</w:t>
            </w:r>
          </w:p>
        </w:tc>
        <w:tc>
          <w:tcPr>
            <w:tcW w:type="dxa" w:w="2351"/>
          </w:tcPr>
          <w:p>
            <w:r>
              <w:t>8.59</w:t>
            </w:r>
          </w:p>
        </w:tc>
        <w:tc>
          <w:tcPr>
            <w:tcW w:type="dxa" w:w="2351"/>
          </w:tcPr>
          <w:p>
            <w:r>
              <w:t>3</w:t>
            </w:r>
          </w:p>
        </w:tc>
      </w:tr>
      <w:tr>
        <w:tc>
          <w:tcPr>
            <w:tcW w:type="dxa" w:w="2351"/>
          </w:tcPr>
          <w:p>
            <w:r>
              <w:t>Erythrocyte</w:t>
            </w:r>
          </w:p>
        </w:tc>
        <w:tc>
          <w:tcPr>
            <w:tcW w:type="dxa" w:w="2351"/>
          </w:tcPr>
          <w:p>
            <w:r>
              <w:t>29.36</w:t>
            </w:r>
          </w:p>
        </w:tc>
        <w:tc>
          <w:tcPr>
            <w:tcW w:type="dxa" w:w="2351"/>
          </w:tcPr>
          <w:p>
            <w:r>
              <w:t>23.07</w:t>
            </w:r>
          </w:p>
        </w:tc>
        <w:tc>
          <w:tcPr>
            <w:tcW w:type="dxa" w:w="2351"/>
          </w:tcPr>
          <w:p>
            <w:r>
              <w:t>3</w:t>
            </w:r>
          </w:p>
        </w:tc>
      </w:tr>
    </w:tbl>
    <w:p>
      <w:pPr>
        <w:spacing w:after="160"/>
      </w:pPr>
    </w:p>
    <w:p>
      <w:pPr>
        <w:spacing w:line="276" w:lineRule="auto" w:after="80"/>
        <w:ind w:firstLine="0"/>
      </w:pPr>
      <w:r>
        <w:rPr>
          <w:rFonts w:ascii="Arial" w:hAnsi="Arial"/>
          <w:b w:val="0"/>
          <w:i w:val="0"/>
          <w:color w:val="000000"/>
          <w:sz w:val="22"/>
        </w:rPr>
        <w:t xml:space="preserve">Of the 4,851 Tabula Sapiens cell-type pairs, 59 are same-cell-type cross-organ comparisons, which ask which cell types maintain their identity regardless of residence and which are shaped by their organ environment (Fig. 6; Table 2; Supplementary Fig. 5). The cross-organ ω ranking reveals a broad spectrum of conservation across 17 cell types, of which only the extremes reproduce under k_f (Supplementary Note 9) (Table 2). Because single-pair means are statistically uninformative, we anchor interpretation on well-sampled cell types (n ≥ 5 pairs; upper block of Table 2): CD8+ T cells (mean ω = 9.93 ± 4.62, n = 6) and Plasma cells (mean ω = 10.20 ± 2.03, n = 6) were the most conserved, followed by Neutrophils and NK cells; Macrophages, the most abundant type (n = 15), showed intermediate conservation (mean 15.49 ± 8.46). At the divergent end, Endothelial cells and Erythrocytes had the highest cross-organ ω, consistent with the organ-specific gene programs of endothelial cells </w:t>
      </w:r>
      <w:r>
        <w:rPr>
          <w:rFonts w:ascii="Arial" w:hAnsi="Arial"/>
          <w:b w:val="0"/>
          <w:i w:val="0"/>
          <w:color w:val="000000"/>
          <w:sz w:val="22"/>
          <w:vertAlign w:val="superscript"/>
        </w:rPr>
        <w:t>18</w:t>
      </w:r>
      <w:r>
        <w:rPr>
          <w:rFonts w:ascii="Arial" w:hAnsi="Arial"/>
          <w:b w:val="0"/>
          <w:i w:val="0"/>
          <w:color w:val="000000"/>
          <w:sz w:val="22"/>
        </w:rPr>
        <w:t>, although both are represented by only n = 3 pairs and this end of the ranking is suggestive only. Sparsely sampled types (n = 1–3 pairs, lower block of Table 2) carry no reliable signal.</w:t>
      </w:r>
    </w:p>
    <w:p>
      <w:pPr>
        <w:spacing w:line="276" w:lineRule="auto" w:after="80"/>
        <w:ind w:firstLine="0"/>
      </w:pPr>
      <w:r>
        <w:rPr>
          <w:rFonts w:ascii="Arial" w:hAnsi="Arial"/>
          <w:b w:val="0"/>
          <w:i w:val="0"/>
          <w:color w:val="000000"/>
          <w:sz w:val="22"/>
        </w:rPr>
        <w:t>The cross-organ conservation ranking from CKI showed little agreement with rankings from standard metrics (Spearman r = −0.40 to 0.02, n = 59 pairs; bootstrap 95% CIs reported in Supplementary Table 2), because CKI explicitly normalizes: two populations may share highly expressed genes (high Jaccard similarity), yet a low baseline k_n turns modest functional differences into high ω. A k_f-only control qualifies the ranking’s interpretation (Supplementary Note 9): per-cell-type mean ω and mean k_f are only weakly concordant (Spearman r = 0.23, organ-clustered bootstrap 95% CI [−0.08, 0.38], P = 0.37, n = 17 cell types; per-pair r = 0.44, P = 5.7 × 10⁻⁴). CD8+ T cells are most conserved under both ω and k_f and the divergent end is directionally consistent, but the middle does not reproduce (NK cells rank most divergent under ω, second-most conserved under k_f): the cross-organ ranking is a composite of functional divergence and baseline differences.</w:t>
      </w:r>
    </w:p>
    <w:p>
      <w:pPr>
        <w:pStyle w:val="Heading2"/>
        <w:spacing w:before="420" w:after="160"/>
      </w:pPr>
      <w:r>
        <w:rPr>
          <w:rFonts w:ascii="Arial" w:hAnsi="Arial"/>
          <w:color w:val="000000"/>
          <w:sz w:val="24"/>
          <w:b/>
        </w:rPr>
        <w:t>Brain regional analysis reveals divergence gradients</w:t>
      </w:r>
    </w:p>
    <w:p>
      <w:pPr>
        <w:spacing w:line="276" w:lineRule="auto" w:after="80"/>
        <w:ind w:firstLine="0"/>
      </w:pPr>
      <w:r>
        <w:rPr>
          <w:rFonts w:ascii="Arial" w:hAnsi="Arial"/>
          <w:b w:val="0"/>
          <w:i w:val="0"/>
          <w:color w:val="000000"/>
          <w:sz w:val="22"/>
        </w:rPr>
        <w:t xml:space="preserve">We applied CKI to the Siletti et al. human brain single-nucleus atlas </w:t>
      </w:r>
      <w:r>
        <w:rPr>
          <w:rFonts w:ascii="Arial" w:hAnsi="Arial"/>
          <w:b w:val="0"/>
          <w:i w:val="0"/>
          <w:color w:val="000000"/>
          <w:sz w:val="22"/>
          <w:vertAlign w:val="superscript"/>
        </w:rPr>
        <w:t>12</w:t>
      </w:r>
      <w:r>
        <w:rPr>
          <w:rFonts w:ascii="Arial" w:hAnsi="Arial"/>
          <w:b w:val="0"/>
          <w:i w:val="0"/>
          <w:color w:val="000000"/>
          <w:sz w:val="22"/>
        </w:rPr>
        <w:t xml:space="preserve"> (~3.3 million nuclei, 108 regions), asking how much functional divergence separates the same cell type across regions. We focused on 888,263 non-neuronal nuclei in 10 major classes (886,808 passing the ≥ 20-nuclei filter); neurons were excluded because supercluster_term does not resolve neuronal subtypes, violating the same-cell-type assumption. CKI ω was computed for all same-cell-type cross-region comparisons (31,764 pairs total) (Fig. 7; Supplementary Fig. 6; Supplementary Table 3). Vascular cells and fibroblasts are heterogeneous superclusters aggregating multiple subtypes, so their class-level ω values are supercluster averages, not properties of one coherent cell type.</w:t>
      </w:r>
    </w:p>
    <w:p>
      <w:pPr>
        <w:spacing w:line="276" w:lineRule="auto" w:after="80"/>
        <w:ind w:firstLine="0"/>
      </w:pPr>
      <w:r>
        <w:rPr>
          <w:rFonts w:ascii="Arial" w:hAnsi="Arial"/>
          <w:b w:val="0"/>
          <w:i w:val="0"/>
          <w:color w:val="000000"/>
          <w:sz w:val="22"/>
        </w:rPr>
        <w:t>Mean ω spanned a 6.10-fold gradient across cell classes (all class-level SDs in this paragraph computed with ddof = 1). Bergmann glia and vascular cells showed the lowest mean ω (both 13.56; Bergmann glia 13.56 ± 5.72, n = 21 pairs across 7 regions—all intra-cerebellar, so their low ω partly reflects this anatomical restriction; vascular cells 13.56 ± 4.78, n = 3,321 pairs across 82 regions), followed by fibroblasts (18.18 ± 9.59), ependymal cells (22.98 ± 10.15), microglia (24.31 ± 12.35), committed oligodendrocyte precursors (28.84 ± 12.51), oligodendrocytes (37.05 ± 15.73), choroid plexus (37.76 ± 15.95, n = 15 pairs—too sparsely sampled to rank reliably), and oligodendrocyte precursors (40.62 ± 19.89). Astrocytes were the most regionally divergent (82.75 ± 44.98, n = 5,778 pairs across 108 regions), a 6.10-fold increase over Bergmann glia and vascular cells. This headline is an uncorrected upper bound: an equal-n downsample control (every class reduced to 4,118 nuclei, 20 replicates) attenuates the gradient to 1.74 (95% CI [1.64, 1.84]) because class-mean k_n is confounded by class size (below), so we co-report 6.10-fold as the full-data estimate and 1.74-fold as the size-balanced estimate throughout. Under class-specific split-half baselines the gradient is 5.99 (95% CI [4.43, 7.69], studentized bootstrap-t region-clustered bootstrap, superseding the under-covering percentile interval [4.12, 9.18]; Supplementary Note 2; see Discussion). Region-clustered bootstrap 95% CIs for the class-level means (B = 2,000; Methods): astrocytes [75.66, 89.53], oligodendrocyte precursors [37.02, 44.21], oligodendrocytes [34.31, 39.88], microglia [21.80, 26.87], Bergmann glia [5.76, 28.59] (studentized bootstrap-t; the earlier percentile interval under-covers at 7 clusters; Supplementary Note 2). Excluding Bergmann glia the gradient is unchanged (astrocytes versus vascular cells, 95% CI [6.00, 6.21]).</w:t>
      </w:r>
    </w:p>
    <w:p>
      <w:pPr>
        <w:spacing w:line="276" w:lineRule="auto" w:after="80"/>
        <w:ind w:firstLine="0"/>
      </w:pPr>
      <w:r>
        <w:rPr>
          <w:rFonts w:ascii="Arial" w:hAnsi="Arial"/>
          <w:b w:val="0"/>
          <w:i w:val="0"/>
          <w:color w:val="000000"/>
          <w:sz w:val="22"/>
        </w:rPr>
        <w:t>To test whether this gradient exceeds chance, we used a cell-type-level block-shuffle null that permutes 10x-library-to-region assignments (B = 1,000; Methods). For 4 of 10 cell classes, regional structure significantly raised mean ω (astrocytes: one-sided P ≤ 9.99 × 10⁻⁴, the permutation floor, SES = 6.49; oligodendrocyte precursor cells (OPCs): P = 0.002, SES = 4.04; committed OPCs: P = 0.005, SES = 2.60; fibroblasts: P = 0.030, SES = 1.83). Ependymal cells were borderline (P = 0.075) and vascular cells non-significant (P = 0.115); for three classes the observed mean fell below the null expectation (microglia P = 0.904; oligodendrocytes P = 0.883; Bergmann glia P = 0.998), and choroid plexus was not significant (P = 0.566, n = 15 pairs). Under Benjamini-Hochberg correction across the m = 10 classes, astrocytes and OPCs have q = 0.010 (a censored upper bound from the floor P), committed OPCs q = 0.017, and fibroblasts q = 0.075; a donor-stratified null sensitivity analysis (Methods) leaves the same 3 of 10 classes surviving correction. The gradient is thus supported at the cell-class level for a subset of classes—most strongly astrocytes and the OPC-to-oligodendrocyte lineage—while microglia, oligodendrocytes, and Bergmann glia sit at or below the null expectation.</w:t>
      </w:r>
    </w:p>
    <w:p>
      <w:pPr>
        <w:spacing w:line="276" w:lineRule="auto" w:after="80"/>
        <w:ind w:firstLine="0"/>
      </w:pPr>
      <w:r>
        <w:rPr>
          <w:rFonts w:ascii="Arial" w:hAnsi="Arial"/>
          <w:b w:val="0"/>
          <w:i w:val="0"/>
          <w:color w:val="000000"/>
          <w:sz w:val="22"/>
        </w:rPr>
        <w:t>Four analyses probe the robustness of the gradient. First, with only four donors and 94.5% of region pairs sharing at least one, the pooled gradient could reflect donor identity rather than regional biology. Restricting comparisons to same-donor region pairs preserved the extremes: astrocytes remained the most divergent class (mean ω = 75.18 across 11,139 within-donor pairs, versus 82.75 pooled) and Bergmann glia the least (16.73), a 4.50-fold gradient. Donor sharing cannot explain the gradient away, though within-donor values are lower for the largest classes (some between-donor contribution). Second, component decomposition shows the astrocyte-versus-Bergmann-glia contrast is predominantly a k_n effect: k_f differs only 2.0-fold (0.135 vs. 0.067) while mean k_n differs 3.2-fold (1.81 × 10⁻³ vs. 5.83 × 10⁻³). Across the ten classes, class-mean ω tracks k_n (Spearman ρ = −0.73, P = 0.02) but not k_f (ρ = 0.09, P = 0.80), and under a k_f-only ordering astrocytes rank third of ten (k_f-only gradient 4.1-fold; k_n-only 6.7-fold): the gradient chiefly reflects housekeeping stability across regions, not functional-gene divergence. The ordering is stable under an aggregate-first k_n estimator (ρ = 0.988, gradient 6.51-fold) but not under a single global k_n shared by all classes (ρ = 0.09), and per-pair k_n varies substantially (CV = 97.52%), so fine-grained ω orderings depend materially on the per-pair k_n estimator (Supplementary Fig. 7). We therefore recommend treating class-level ω as composite and comparing k_f and k_n directly for mechanistic attribution.</w:t>
      </w:r>
    </w:p>
    <w:p>
      <w:pPr>
        <w:spacing w:line="276" w:lineRule="auto" w:after="80"/>
        <w:ind w:firstLine="0"/>
      </w:pPr>
      <w:r>
        <w:rPr>
          <w:rFonts w:ascii="Arial" w:hAnsi="Arial"/>
          <w:b w:val="0"/>
          <w:i w:val="0"/>
          <w:color w:val="000000"/>
          <w:sz w:val="22"/>
        </w:rPr>
        <w:t>Third, we audited class-size confounding and filter-threshold sensitivity (Methods; Supplementary Note 10). Class-mean k_n correlates negatively with log10(class size) (Spearman ρ = −0.648, P = 0.043) but not with detection depth (P &gt; 0.22), and class-mean ω is uncorrelated with all tested confounders (P ≥ 0.091)—the ratio cancels shared sampling noise. The equal-n control (4,118 nuclei per class, 20 replicates) confirms this: the k_n class ranking is uncorrelated between full and downsampled data (ρ = −0.055, P = 0.88), the ω ranking only weakly (ρ = 0.370, P = 0.29), and the gradient falls from 6.10-fold to 1.74 (95% CI [1.64, 1.84])—direction preserved, interval excluding 1, but ~70% of the magnitude reflects class-size imbalance; the full-data gradient is therefore an uncorrected upper bound. Fourth, the gradient is robust to the 20-nuclei group-size threshold in direction but not magnitude: thresholds of 10, 20 (reported), 50, and 100 nuclei retain 10, 10, 10, and 8 classes with gradients of 6.60, 6.10, and 4.12; large classes change ≤ 2% in mean ω (microglia +4.8%), and the lowest rank is a near-tie that flips with threshold choice, so thresholds must stay at or below 50 nuclei to retain all ten classes (Supplementary Note 10).</w:t>
      </w:r>
    </w:p>
    <w:p>
      <w:pPr>
        <w:spacing w:line="276" w:lineRule="auto" w:after="80"/>
        <w:ind w:firstLine="0"/>
      </w:pPr>
      <w:r>
        <w:rPr>
          <w:rFonts w:ascii="Arial" w:hAnsi="Arial"/>
          <w:b w:val="0"/>
          <w:i w:val="0"/>
          <w:color w:val="000000"/>
          <w:sz w:val="22"/>
        </w:rPr>
        <w:t xml:space="preserve">The gradient aligns with known cell biology. Vascular cells and fibroblasts are tissue-resident populations maintained and replenished locally; their low ω indicates broadly conserved core programs—though low class-level ω is not spatial uniformity (the blood-brain barrier is molecularly heterogeneous between regions </w:t>
      </w:r>
      <w:r>
        <w:rPr>
          <w:rFonts w:ascii="Arial" w:hAnsi="Arial"/>
          <w:b w:val="0"/>
          <w:i w:val="0"/>
          <w:color w:val="000000"/>
          <w:sz w:val="22"/>
          <w:vertAlign w:val="superscript"/>
        </w:rPr>
        <w:t>19</w:t>
      </w:r>
      <w:r>
        <w:rPr>
          <w:rFonts w:ascii="Arial" w:hAnsi="Arial"/>
          <w:b w:val="0"/>
          <w:i w:val="0"/>
          <w:color w:val="000000"/>
          <w:sz w:val="22"/>
        </w:rPr>
        <w:t xml:space="preserve">; meningeal structure differs across compartments </w:t>
      </w:r>
      <w:r>
        <w:rPr>
          <w:rFonts w:ascii="Arial" w:hAnsi="Arial"/>
          <w:b w:val="0"/>
          <w:i w:val="0"/>
          <w:color w:val="000000"/>
          <w:sz w:val="22"/>
          <w:vertAlign w:val="superscript"/>
        </w:rPr>
        <w:t>20</w:t>
      </w:r>
      <w:r>
        <w:rPr>
          <w:rFonts w:ascii="Arial" w:hAnsi="Arial"/>
          <w:b w:val="0"/>
          <w:i w:val="0"/>
          <w:color w:val="000000"/>
          <w:sz w:val="22"/>
        </w:rPr>
        <w:t xml:space="preserve">). Microglia showed intermediate divergence: regional phenotypes vary but core surveillance machinery is shared </w:t>
      </w:r>
      <w:r>
        <w:rPr>
          <w:rFonts w:ascii="Arial" w:hAnsi="Arial"/>
          <w:b w:val="0"/>
          <w:i w:val="0"/>
          <w:color w:val="000000"/>
          <w:sz w:val="22"/>
          <w:vertAlign w:val="superscript"/>
        </w:rPr>
        <w:t>21</w:t>
      </w:r>
      <w:r>
        <w:rPr>
          <w:rFonts w:ascii="Arial" w:hAnsi="Arial"/>
          <w:b w:val="0"/>
          <w:i w:val="0"/>
          <w:color w:val="000000"/>
          <w:sz w:val="22"/>
        </w:rPr>
        <w:t>. Astrocytes express region-specific sets of ion channels, neurotransmitter transporters, and secreted factors tailored to local circuit demands—regional specialization compatible with the composite ω ordering but not established by it, because the ordering is predominantly k_n-driven, so the gradient should not be read as a ranking of functional divergence.</w:t>
      </w:r>
    </w:p>
    <w:p>
      <w:pPr>
        <w:spacing w:line="276" w:lineRule="auto" w:after="80"/>
        <w:ind w:firstLine="0"/>
      </w:pPr>
      <w:r>
        <w:rPr>
          <w:rFonts w:ascii="Arial" w:hAnsi="Arial"/>
          <w:b w:val="0"/>
          <w:i w:val="0"/>
          <w:color w:val="000000"/>
          <w:sz w:val="22"/>
        </w:rPr>
        <w:t>The gradient suggests a residence/migration framework: recently migrated or continuously exchanging types should show low inter-regional ω, while stably resident types accumulate regional signatures. Applied with care: vascular cells and fibroblasts are tissue-resident and replenished locally, so their low ω is more parsimoniously local maintenance of a conserved structural program than inter-regional exchange. Conversely, OPCs—the most actively migrating non-neuronal population—show the second-highest global mean ω (40.62), and the corrected candidate screen shows no oligodendrocyte-lineage concentration (fold enrichment 0.77, P = 0.92): these data provide no evidence that migration history shapes ω at either the pair or the class level. With no candidate surviving multiple-testing correction (below), this framework is hypothesis generation complementing lineage tracing, not inference.</w:t>
      </w:r>
    </w:p>
    <w:p>
      <w:pPr>
        <w:pStyle w:val="Heading2"/>
        <w:spacing w:before="420" w:after="160"/>
      </w:pPr>
      <w:r>
        <w:rPr>
          <w:rFonts w:ascii="Arial" w:hAnsi="Arial"/>
          <w:color w:val="000000"/>
          <w:sz w:val="24"/>
          <w:b/>
        </w:rPr>
        <w:t>Anomalously similar pairs: a hypothesis-generating screen</w:t>
      </w:r>
    </w:p>
    <w:p>
      <w:pPr>
        <w:spacing w:line="276" w:lineRule="auto" w:after="80"/>
        <w:ind w:firstLine="0"/>
      </w:pPr>
      <w:r>
        <w:rPr>
          <w:rFonts w:ascii="Arial" w:hAnsi="Arial"/>
          <w:b w:val="0"/>
          <w:i w:val="0"/>
          <w:color w:val="000000"/>
          <w:sz w:val="22"/>
        </w:rPr>
        <w:t xml:space="preserve">Low CKI ω for a cell type across two regions indicates transcriptomic similarity beyond baseline expectation, arising from non-exclusive mechanisms (developmental origin heterogeneity, embryonic colonization route boundaries </w:t>
      </w:r>
      <w:r>
        <w:rPr>
          <w:rFonts w:ascii="Arial" w:hAnsi="Arial"/>
          <w:b w:val="0"/>
          <w:i w:val="0"/>
          <w:color w:val="000000"/>
          <w:sz w:val="22"/>
          <w:vertAlign w:val="superscript"/>
        </w:rPr>
        <w:t>22–24</w:t>
      </w:r>
      <w:r>
        <w:rPr>
          <w:rFonts w:ascii="Arial" w:hAnsi="Arial"/>
          <w:b w:val="0"/>
          <w:i w:val="0"/>
          <w:color w:val="000000"/>
          <w:sz w:val="22"/>
        </w:rPr>
        <w:t xml:space="preserve">, compartmentalized developmental specification, postnatal migration </w:t>
      </w:r>
      <w:r>
        <w:rPr>
          <w:rFonts w:ascii="Arial" w:hAnsi="Arial"/>
          <w:b w:val="0"/>
          <w:i w:val="0"/>
          <w:color w:val="000000"/>
          <w:sz w:val="22"/>
          <w:vertAlign w:val="superscript"/>
        </w:rPr>
        <w:t>25,26</w:t>
      </w:r>
      <w:r>
        <w:rPr>
          <w:rFonts w:ascii="Arial" w:hAnsi="Arial"/>
          <w:b w:val="0"/>
          <w:i w:val="0"/>
          <w:color w:val="000000"/>
          <w:sz w:val="22"/>
        </w:rPr>
        <w:t>). We report the screen’s global verdict first: under a design-matched null that recomputes the full selection rule on every block-shuffle permutation, the expected number of Strong candidates is 148.3—the 39 observed lie 3.8-fold below the null expectation (P(null count ≥ 39) = 1.0), and no candidate survives FDR correction (minimum q = 0.520). The catalogue below is therefore a prioritized hypothesis list, not discoveries, and mechanism assignment is literature-guided; the oligodendrocyte lineage is not enriched (fold 0.77, P = 0.92), so migration-driven similarity is not currently evidenced. Region abbreviations follow the Siletti et al. dissection nomenclature (glossary in Supplementary Note 11).</w:t>
      </w:r>
    </w:p>
    <w:p>
      <w:pPr>
        <w:spacing w:line="276" w:lineRule="auto" w:after="80"/>
        <w:ind w:firstLine="0"/>
      </w:pPr>
      <w:r>
        <w:rPr>
          <w:rFonts w:ascii="Arial" w:hAnsi="Arial"/>
          <w:b w:val="0"/>
          <w:i w:val="0"/>
          <w:color w:val="000000"/>
          <w:sz w:val="22"/>
        </w:rPr>
        <w:t>The screen uses a multiplicative model: for each (cell_type, region_pair), expected_ω = μ_ct × μ_pair / μ_grand (μ_ct the cell type’s global mean ω, μ_pair the pair’s mean ω, μ_grand = 38.55). A residual (observed / expected) well below 1 marks a cell type far less differentiated between two regions than expected from its own plasticity and the pair’s divergence—a signature of shared transcriptional state, potentially reflecting shared developmental history or recent migration. Three confidence tiers were defined: Strong (residual &lt; 0.3, ω &lt; 15, lowest ω in the region pair), Moderate (residual &lt; 0.5, ω &lt; 25), and Weak (residual &lt; 0.75, ω &lt; 35; Supplementary Fig. 8).</w:t>
      </w:r>
    </w:p>
    <w:p>
      <w:pPr>
        <w:spacing w:line="276" w:lineRule="auto" w:after="80"/>
        <w:ind w:firstLine="0"/>
      </w:pPr>
      <w:r>
        <w:rPr>
          <w:rFonts w:ascii="Arial" w:hAnsi="Arial"/>
          <w:b w:val="0"/>
          <w:i w:val="0"/>
          <w:color w:val="000000"/>
          <w:sz w:val="22"/>
        </w:rPr>
        <w:t>Among 31,764 cross-region comparisons, threshold criteria identified 39 (0.12%) Strong candidates, with 1,171 (3.69%) Moderate and 5,381 (16.94%) Weak (Supplementary Table 4). Under the block-shuffle null (B = 1,000; Supplementary Fig. 9), 31 of the 39 Strong candidates showed raw one-sided P &lt; 0.05, but none survived Benjamini-Hochberg correction (minimum q = 0.520); the selection-rule empirical FDR analysis gives the depletion above (148.3 versus 39; restricted to raw P &lt; 0.05, 131.2 versus 31). A cell-type-stratified BH sensitivity analysis yields a single family below nominal—the intra-cerebellar Bergmann-glia family (m = 21; minimum q = 0.042)—crossing no class boundaries. Globally, 1,960 of 31,764 pairs (6.2%) showed raw lower-tail P &lt; 0.05, above the null 99th percentile (P = 0.011; Bonferroni 0.022), the excess chiefly from classes below the null expectation (microglia, oligodendrocytes, Bergmann glia) plus astrocytes; the upper tail shows the opposite excess (2,510 pairs, 7.9%). Candidates concentrate in microglia (16 Strong) and oligodendrocytes (10), with fibroblasts (6), astrocytes (3), and ependymal cells (2) contributing the rest; vascular cells, choroid plexus, and Bergmann glia contributed none. The microglial share-level enrichment (2.30-fold, hypergeometric P = 6.0 × 10⁻⁴) does not survive the design-matched null: the Strong rule fires preferentially on low-ω classes (52.0 of the 148.3 null candidates are microglial; observed 16, fold 0.31, P = 0.990), and the concentration does not survive the leave-pair-out panel. We make no class-composition claim, consistent with the class-level test (microglial mean below null, P = 0.904).</w:t>
      </w:r>
    </w:p>
    <w:p>
      <w:pPr>
        <w:spacing w:line="276" w:lineRule="auto" w:after="80"/>
        <w:ind w:firstLine="0"/>
      </w:pPr>
      <w:r>
        <w:rPr>
          <w:rFonts w:ascii="Arial" w:hAnsi="Arial"/>
          <w:b w:val="0"/>
          <w:i w:val="0"/>
          <w:color w:val="000000"/>
          <w:sz w:val="22"/>
        </w:rPr>
        <w:t>A design-matched negative control confirms the block-shuffle null is calibrated by library-level, not regional, structure. The libraries of every region were split uniformly at random into two pseudo-regions and the identical test re-run on the resulting 127,756 pseudo-pairs (B = 1,000; Supplementary Note 12; Supplementary Fig. 10). Pseudo-pairs between halves of different regions (n = 127,056) gave near-nominal tail rates (5.79% lower, 6.87% upper versus 5% nominal), similar to the real analysis (6.17%, 7.90%), whereas same-region halves (n = 700) showed a 37.6% lower-tail rate, confirming retained power. The mild over-dispersion of the per-pair P-values therefore arises from library-level grouping shared by both designs, and the small excess of real over pseudo rates (0.4 and 1.0 points) is the marginal signature of true regional biology.</w:t>
      </w:r>
    </w:p>
    <w:p>
      <w:pPr>
        <w:spacing w:line="276" w:lineRule="auto" w:after="80"/>
        <w:ind w:firstLine="0"/>
      </w:pPr>
      <w:r>
        <w:rPr>
          <w:rFonts w:ascii="Arial" w:hAnsi="Arial"/>
          <w:b w:val="0"/>
          <w:i w:val="0"/>
          <w:color w:val="000000"/>
          <w:sz w:val="22"/>
        </w:rPr>
        <w:t xml:space="preserve">Microglia contributed the largest share of Strong candidates (16 of 39, 13 with raw P &lt; 0.05), a share-level excess that mirrors the rule’s intrinsic bias toward low-ω classes (fold 0.31 against the null-rule expectation), so we make no class-composition claim. The microglial candidates nonetheless converge on visual-relay and orbitofrontal dissections: five pairs involve the lateral geniculate nucleus (LG), four the pulvinar (Pul), and four the occipitotemporal area TF, with the orbitofrontal areas A13 and A14 recurring as endpoints (glossary in Supplementary Note 11). With no candidate surviving FDR correction and the concentration mirroring the rule’s bias, these entries are hypothesis-generating targets for spatial-transcriptomic and lineage follow-up </w:t>
      </w:r>
      <w:r>
        <w:rPr>
          <w:rFonts w:ascii="Arial" w:hAnsi="Arial"/>
          <w:b w:val="0"/>
          <w:i w:val="0"/>
          <w:color w:val="000000"/>
          <w:sz w:val="22"/>
          <w:vertAlign w:val="superscript"/>
        </w:rPr>
        <w:t>21</w:t>
      </w:r>
      <w:r>
        <w:rPr>
          <w:rFonts w:ascii="Arial" w:hAnsi="Arial"/>
          <w:b w:val="0"/>
          <w:i w:val="0"/>
          <w:color w:val="000000"/>
          <w:sz w:val="22"/>
        </w:rPr>
        <w:t>, not evidence of microglia-specific regional association.</w:t>
      </w:r>
    </w:p>
    <w:p>
      <w:pPr>
        <w:spacing w:line="276" w:lineRule="auto" w:after="80"/>
        <w:ind w:firstLine="0"/>
      </w:pPr>
      <w:r>
        <w:rPr>
          <w:rFonts w:ascii="Arial" w:hAnsi="Arial"/>
          <w:b w:val="0"/>
          <w:i w:val="0"/>
          <w:color w:val="000000"/>
          <w:sz w:val="22"/>
        </w:rPr>
        <w:t xml:space="preserve">Mature oligodendrocytes contributed 10 Strong candidates, all with raw P &lt; 0.05—the only class in which every Strong candidate reaches nominal significance. Six of the ten have a thalamic relay-nucleus endpoint (eight if the subthalamic nucleus, which the atlas ontology groups under thalamus, is also counted) and four involve the occipitotemporal area TF—a thalamo-temporal orientation tested post hoc at the set level under both a uniform-draw and a selection-rule-matched null (Discussion; Supplementary Note 13). Adult oligodendrocytes are generally non-migratory between regions; Foerster et al. </w:t>
      </w:r>
      <w:r>
        <w:rPr>
          <w:rFonts w:ascii="Arial" w:hAnsi="Arial"/>
          <w:b w:val="0"/>
          <w:i w:val="0"/>
          <w:color w:val="000000"/>
          <w:sz w:val="22"/>
          <w:vertAlign w:val="superscript"/>
        </w:rPr>
        <w:t>27</w:t>
      </w:r>
      <w:r>
        <w:rPr>
          <w:rFonts w:ascii="Arial" w:hAnsi="Arial"/>
          <w:b w:val="0"/>
          <w:i w:val="0"/>
          <w:color w:val="000000"/>
          <w:sz w:val="22"/>
        </w:rPr>
        <w:t xml:space="preserve"> showed cortical oligodendrocytes are predominantly dorsally derived, whereas thalamic and brainstem oligodendrocytes are ventrally derived, with persistent cell-autonomous identity. The candidates cross rather than follow this dorsoventral origin boundary, so their mechanistic basis is left unassigned: the anatomical concentration itself is the observation to be explained, one candidate interpretation among several given the null FDR result.</w:t>
      </w:r>
    </w:p>
    <w:p>
      <w:pPr>
        <w:spacing w:line="276" w:lineRule="auto" w:after="80"/>
        <w:ind w:firstLine="0"/>
      </w:pPr>
      <w:r>
        <w:rPr>
          <w:rFonts w:ascii="Arial" w:hAnsi="Arial"/>
          <w:b w:val="0"/>
          <w:i w:val="0"/>
          <w:color w:val="000000"/>
          <w:sz w:val="22"/>
        </w:rPr>
        <w:t xml:space="preserve">Astrocytes, the most regionally divergent class (mean ω = 82.75), contributed only 3 Strong candidates (all with raw P &lt; 0.05); fibroblasts contributed 6 (5 involving area 40 as one endpoint; 4 of 6 with raw P &lt; 0.05), and ependymal cells 2 (both raw P &gt; 0.05). Bergmann glia, vascular cells, and choroid plexus contributed none; the absence of Bergmann glia candidates is consistent with their transcriptionally constrained state in the adult cerebellum </w:t>
      </w:r>
      <w:r>
        <w:rPr>
          <w:rFonts w:ascii="Arial" w:hAnsi="Arial"/>
          <w:b w:val="0"/>
          <w:i w:val="0"/>
          <w:color w:val="000000"/>
          <w:sz w:val="22"/>
          <w:vertAlign w:val="superscript"/>
        </w:rPr>
        <w:t>28,29</w:t>
      </w:r>
      <w:r>
        <w:rPr>
          <w:rFonts w:ascii="Arial" w:hAnsi="Arial"/>
          <w:b w:val="0"/>
          <w:i w:val="0"/>
          <w:color w:val="000000"/>
          <w:sz w:val="22"/>
        </w:rPr>
        <w:t xml:space="preserve"> and low global ω (13.56)—though all Bergmann glia comparisons are intra-cerebellar, so both the low mean and the absence partly reflect this anatomical restriction. None of these sparse signals survive multiple-testing correction; they are catalogued because their region identities are compatible with published developmental mechanisms (compartmentalized astrogenesis </w:t>
      </w:r>
      <w:r>
        <w:rPr>
          <w:rFonts w:ascii="Arial" w:hAnsi="Arial"/>
          <w:b w:val="0"/>
          <w:i w:val="0"/>
          <w:color w:val="000000"/>
          <w:sz w:val="22"/>
          <w:vertAlign w:val="superscript"/>
        </w:rPr>
        <w:t>30</w:t>
      </w:r>
      <w:r>
        <w:rPr>
          <w:rFonts w:ascii="Arial" w:hAnsi="Arial"/>
          <w:b w:val="0"/>
          <w:i w:val="0"/>
          <w:color w:val="000000"/>
          <w:sz w:val="22"/>
        </w:rPr>
        <w:t xml:space="preserve">; cerebellar molecular topography </w:t>
      </w:r>
      <w:r>
        <w:rPr>
          <w:rFonts w:ascii="Arial" w:hAnsi="Arial"/>
          <w:b w:val="0"/>
          <w:i w:val="0"/>
          <w:color w:val="000000"/>
          <w:sz w:val="22"/>
          <w:vertAlign w:val="superscript"/>
        </w:rPr>
        <w:t>28</w:t>
      </w:r>
      <w:r>
        <w:rPr>
          <w:rFonts w:ascii="Arial" w:hAnsi="Arial"/>
          <w:b w:val="0"/>
          <w:i w:val="0"/>
          <w:color w:val="000000"/>
          <w:sz w:val="22"/>
        </w:rPr>
        <w:t>), making them suitable targets for targeted validation.</w:t>
      </w:r>
    </w:p>
    <w:p>
      <w:pPr>
        <w:spacing w:line="276" w:lineRule="auto" w:after="80"/>
        <w:ind w:firstLine="0"/>
      </w:pPr>
      <w:r>
        <w:rPr>
          <w:rFonts w:ascii="Arial" w:hAnsi="Arial"/>
          <w:b w:val="0"/>
          <w:i w:val="0"/>
          <w:color w:val="000000"/>
          <w:sz w:val="22"/>
        </w:rPr>
        <w:t>In summary, the block-shuffle re-analysis substantially tempers the brain candidate catalogue: the cell-class-level gradient is supported for 4 of 10 classes (3 of 10 after Benjamini-Hochberg correction), no individual candidate survives FDR correction (minimum q = 0.520), and the Strong rule itself is anti-enriched relative to its null (148.3 expected versus 39 observed). An earlier per-pair label-shuffle implementation produced anti-conservative P-values (36.3% at the floor) by ignoring the 10x-library block structure that the block-shuffle null preserves. We therefore position the entire candidate list as hypothesis-generating, prioritized for lineage-tracing and spatial-transcriptomic validation rather than presented as discoveries.</w:t>
      </w:r>
    </w:p>
    <w:p>
      <w:pPr>
        <w:pStyle w:val="Heading1"/>
        <w:spacing w:before="420" w:after="160"/>
      </w:pPr>
      <w:r>
        <w:rPr>
          <w:rFonts w:ascii="Arial" w:hAnsi="Arial"/>
          <w:color w:val="000000"/>
          <w:sz w:val="28"/>
          <w:b/>
        </w:rPr>
        <w:t>Discussion</w:t>
      </w:r>
    </w:p>
    <w:p>
      <w:pPr>
        <w:spacing w:line="276" w:lineRule="auto" w:after="80"/>
        <w:ind w:firstLine="0"/>
      </w:pPr>
      <w:r>
        <w:rPr>
          <w:rFonts w:ascii="Arial" w:hAnsi="Arial"/>
          <w:b w:val="0"/>
          <w:i w:val="0"/>
          <w:color w:val="000000"/>
          <w:sz w:val="22"/>
        </w:rPr>
        <w:t xml:space="preserve">CKI reframes transcriptomic comparison—from measuring absolute distance to quantifying functional divergence relative to an internal baseline—but this is better described as a recombination of established ideas than a conceptual shift. Reference genes have long anchored normalization and quality control in expression measurement: qPCR normalization by geometric averaging of validated internal control genes </w:t>
      </w:r>
      <w:r>
        <w:rPr>
          <w:rFonts w:ascii="Arial" w:hAnsi="Arial"/>
          <w:b w:val="0"/>
          <w:i w:val="0"/>
          <w:color w:val="000000"/>
          <w:sz w:val="22"/>
          <w:vertAlign w:val="superscript"/>
        </w:rPr>
        <w:t>31</w:t>
      </w:r>
      <w:r>
        <w:rPr>
          <w:rFonts w:ascii="Arial" w:hAnsi="Arial"/>
          <w:b w:val="0"/>
          <w:i w:val="0"/>
          <w:color w:val="000000"/>
          <w:sz w:val="22"/>
        </w:rPr>
        <w:t xml:space="preserve">, and the constrained-variance property of housekeeping genes has been characterized at the genomic level </w:t>
      </w:r>
      <w:r>
        <w:rPr>
          <w:rFonts w:ascii="Arial" w:hAnsi="Arial"/>
          <w:b w:val="0"/>
          <w:i w:val="0"/>
          <w:color w:val="000000"/>
          <w:sz w:val="22"/>
          <w:vertAlign w:val="superscript"/>
        </w:rPr>
        <w:t>13,32</w:t>
      </w:r>
      <w:r>
        <w:rPr>
          <w:rFonts w:ascii="Arial" w:hAnsi="Arial"/>
          <w:b w:val="0"/>
          <w:i w:val="0"/>
          <w:color w:val="000000"/>
          <w:sz w:val="22"/>
        </w:rPr>
        <w:t xml:space="preserve">. The idea that an intrinsic, gene-property-dependent noise floor can serve as a baseline has likewise been central to the transcriptional-noise literature </w:t>
      </w:r>
      <w:r>
        <w:rPr>
          <w:rFonts w:ascii="Arial" w:hAnsi="Arial"/>
          <w:b w:val="0"/>
          <w:i w:val="0"/>
          <w:color w:val="000000"/>
          <w:sz w:val="22"/>
          <w:vertAlign w:val="superscript"/>
        </w:rPr>
        <w:t>33–35</w:t>
      </w:r>
      <w:r>
        <w:rPr>
          <w:rFonts w:ascii="Arial" w:hAnsi="Arial"/>
          <w:b w:val="0"/>
          <w:i w:val="0"/>
          <w:color w:val="000000"/>
          <w:sz w:val="22"/>
        </w:rPr>
        <w:t>, which showed that expression variance is reproducibly gene-specific. CKI’s specific contribution is to combine these ingredients—a constrained reference set, a functional panel, and their divergence ratio—into a per-comparison, design-testable index with an explicit split-half calibration and a design-matched permutation null, rather than to introduce a new concept. The key assumption is that housekeeping (HK) genes are under stabilizing selection that constrains their expression variance across conditions, making them a practical constrained baseline against which functional divergence can be measured. This decomposition is heuristically inspired by Ka/Ks analysis, but CKI is a heuristic index rather than a formal measure of selection: unlike Ka/Ks—where a shared mutation rate cancels mathematically, leaving a pure selection signal—CKI uses empirically defined HK genes as the baseline, lacking a comparable mechanistic cancellation. The empirical calibration (split-half equivalent populations; 50 replicates across six control populations) yielded a mean ω = 7.70 (95% CI [7.37, 8.02]; the legacy six-split estimate 6.67 is consistent with it), indicating that k_f systematically exceeds k_n even for identical populations due to identity-gene selection. We therefore use ω_cal = ω / 7.70 as the operational scale, interpreting ω_cal relative to the empirical equivalent-population distribution rather than against fixed cut-offs: values well below the calibrated baseline suggest functional constraint and values well above it enhanced divergence—not as claims about Darwinian selection regimes, and with the caveat that the baseline is dataset-dependent (Results).</w:t>
      </w:r>
    </w:p>
    <w:p>
      <w:pPr>
        <w:spacing w:line="276" w:lineRule="auto" w:after="80"/>
        <w:ind w:firstLine="0"/>
      </w:pPr>
      <w:r>
        <w:rPr>
          <w:rFonts w:ascii="Arial" w:hAnsi="Arial"/>
          <w:b w:val="0"/>
          <w:i w:val="0"/>
          <w:color w:val="000000"/>
          <w:sz w:val="22"/>
        </w:rPr>
        <w:t>CKI is a divergence index, not a classifier—and this is by design. Classifying cell types from transcriptomic data is largely a solved problem; CKI answers a complementary question: regardless of cell-type labels, how much functional divergence separates two populations, relative to their shared baseline? The negative correlation with all standard metrics initially suggested complementary information content, but the decomposition analysis showed this association to be partly a denominator effect (k_n is itself strongly positively correlated with the standard metrics), so ω should be understood as a composite of numerator and denominator information rather than a fully independent signal dimension.</w:t>
      </w:r>
    </w:p>
    <w:p>
      <w:pPr>
        <w:spacing w:line="276" w:lineRule="auto" w:after="80"/>
        <w:ind w:firstLine="0"/>
      </w:pPr>
      <w:r>
        <w:rPr>
          <w:rFonts w:ascii="Arial" w:hAnsi="Arial"/>
          <w:b w:val="0"/>
          <w:i w:val="0"/>
          <w:color w:val="000000"/>
          <w:sz w:val="22"/>
        </w:rPr>
        <w:t>The Ka/Ks analogy is heuristically productive but has technical limitations that distinguish CKI from formal molecular evolution models. Ka/Ks operates on DNA sequence alignments with explicit codon models, whereas CKI uses continuous expression vectors without a substitution model; HK genes are defined empirically (high detection rate, low CV) rather than mechanistically (synonymous sites in Ka/Ks), and their expression variance could reflect regulatory constraints rather than pure neutral drift—sensitivity analysis with alternative low-variance gene sets (r &gt; 0.95) partially mitigates this concern. CKI also lacks a formal phylogenetic framework (e.g., Ornstein-Uhlenbeck models), and ω is computed on different gene sets per comparison, limiting absolute cross-comparison interpretability: users should compare ω ranks rather than absolute values across datasets.</w:t>
      </w:r>
    </w:p>
    <w:p>
      <w:pPr>
        <w:spacing w:line="276" w:lineRule="auto" w:after="80"/>
        <w:ind w:firstLine="0"/>
      </w:pPr>
      <w:r>
        <w:rPr>
          <w:rFonts w:ascii="Arial" w:hAnsi="Arial"/>
          <w:b w:val="0"/>
          <w:i w:val="0"/>
          <w:color w:val="000000"/>
          <w:sz w:val="22"/>
        </w:rPr>
        <w:t xml:space="preserve">CKI complements rather than replaces existing methods. SAMap </w:t>
      </w:r>
      <w:r>
        <w:rPr>
          <w:rFonts w:ascii="Arial" w:hAnsi="Arial"/>
          <w:b w:val="0"/>
          <w:i w:val="0"/>
          <w:color w:val="000000"/>
          <w:sz w:val="22"/>
          <w:vertAlign w:val="superscript"/>
        </w:rPr>
        <w:t>36</w:t>
      </w:r>
      <w:r>
        <w:rPr>
          <w:rFonts w:ascii="Arial" w:hAnsi="Arial"/>
          <w:b w:val="0"/>
          <w:i w:val="0"/>
          <w:color w:val="000000"/>
          <w:sz w:val="22"/>
        </w:rPr>
        <w:t xml:space="preserve"> and SATURN </w:t>
      </w:r>
      <w:r>
        <w:rPr>
          <w:rFonts w:ascii="Arial" w:hAnsi="Arial"/>
          <w:b w:val="0"/>
          <w:i w:val="0"/>
          <w:color w:val="000000"/>
          <w:sz w:val="22"/>
          <w:vertAlign w:val="superscript"/>
        </w:rPr>
        <w:t>4</w:t>
      </w:r>
      <w:r>
        <w:rPr>
          <w:rFonts w:ascii="Arial" w:hAnsi="Arial"/>
          <w:b w:val="0"/>
          <w:i w:val="0"/>
          <w:color w:val="000000"/>
          <w:sz w:val="22"/>
        </w:rPr>
        <w:t xml:space="preserve"> excel at cross-species alignment; CACIMAR </w:t>
      </w:r>
      <w:r>
        <w:rPr>
          <w:rFonts w:ascii="Arial" w:hAnsi="Arial"/>
          <w:b w:val="0"/>
          <w:i w:val="0"/>
          <w:color w:val="000000"/>
          <w:sz w:val="22"/>
          <w:vertAlign w:val="superscript"/>
        </w:rPr>
        <w:t>37</w:t>
      </w:r>
      <w:r>
        <w:rPr>
          <w:rFonts w:ascii="Arial" w:hAnsi="Arial"/>
          <w:b w:val="0"/>
          <w:i w:val="0"/>
          <w:color w:val="000000"/>
          <w:sz w:val="22"/>
        </w:rPr>
        <w:t xml:space="preserve"> provides conservation scoring that could be reinterpreted through the CKI lens. However, we did not quantitatively benchmark CKI against these specialized methods, as they address different questions (cross-species alignment vs. within-species functional divergence). A systematic comparison on shared datasets would clarify the complementary strengths of each approach. More broadly, CKI provides a principled null model for any transcriptomic comparison: before concluding that two populations are meaningfully different, ask whether the difference exceeds baseline expectation.</w:t>
      </w:r>
    </w:p>
    <w:p>
      <w:pPr>
        <w:spacing w:line="276" w:lineRule="auto" w:after="80"/>
        <w:ind w:firstLine="0"/>
      </w:pPr>
      <w:r>
        <w:rPr>
          <w:rFonts w:ascii="Arial" w:hAnsi="Arial"/>
          <w:b w:val="0"/>
          <w:i w:val="0"/>
          <w:color w:val="000000"/>
          <w:sz w:val="22"/>
        </w:rPr>
        <w:t xml:space="preserve">We also compared CKI with Augur </w:t>
      </w:r>
      <w:r>
        <w:rPr>
          <w:rFonts w:ascii="Arial" w:hAnsi="Arial"/>
          <w:b w:val="0"/>
          <w:i w:val="0"/>
          <w:color w:val="000000"/>
          <w:sz w:val="22"/>
          <w:vertAlign w:val="superscript"/>
        </w:rPr>
        <w:t>38</w:t>
      </w:r>
      <w:r>
        <w:rPr>
          <w:rFonts w:ascii="Arial" w:hAnsi="Arial"/>
          <w:b w:val="0"/>
          <w:i w:val="0"/>
          <w:color w:val="000000"/>
          <w:sz w:val="22"/>
        </w:rPr>
        <w:t>, which prioritizes cell types by how predictable a condition is from single-cell expression, on the brain atlas (pure-Python port of Augur v1.0.3; 33,036 stratified nuclei; 10 non-neuronal classes; condition label = brain region; Supplementary Note 14). Under the confound-controlled primary analysis (binary one-vs-rest tasks, comparable across classes despite region-set sizes of 6–107), the two rankings are moderately concordant: Augur separability versus class-mean ω Spearman ρ = 0.442 (P = 0.200), versus k_f ρ = 0.564 (P = 0.090), and versus k_n ρ = −0.236 (P = 0.511). Astrocytes—the top class by ω (82.75)—rank third of ten by Augur, and choroid plexus is high on both, so the extremes of the two rankings overlap; the shared signal localizes to the k_f numerator rather than k_n, whose regional variation is largely invisible to whole-transcriptome classifier separability. CKI is therefore complementary to, not redundant with, perturbation-prioritization tools. A multiclass macro-OvR sensitivity run gave a weaker, confounded association (versus ω ρ = 0.127, P = 0.726; AUC correlated with eligible-region count at ρ = −0.744, P = 0.014). With n = 10 classes these correlations are descriptive only.</w:t>
      </w:r>
    </w:p>
    <w:p>
      <w:pPr>
        <w:spacing w:line="276" w:lineRule="auto" w:after="80"/>
        <w:ind w:firstLine="0"/>
      </w:pPr>
      <w:r>
        <w:rPr>
          <w:rFonts w:ascii="Arial" w:hAnsi="Arial"/>
          <w:b w:val="0"/>
          <w:i w:val="0"/>
          <w:color w:val="000000"/>
          <w:sz w:val="22"/>
        </w:rPr>
        <w:t xml:space="preserve">The pan-cancer reversal—tumor specimens less divergent than adjacent non-tumor tissue (mean NN/TT 1.13–2.46, cluster-bootstrap CIs excluding 1 in four of five cancers)—is a robust tissue-level observation whose mechanistic reading remains cautious: at bulk RNA-seq resolution the apparent convergence could be driven by cell-composition shifts (tumor purity, stromal and immune infiltration), peritumoral inflammation, or systematic RNA quality differences rather than genuine transcriptional convergence of tumor cells. Component decomposition reinforces this caution: the NN/TT reversal is predominantly a k_n effect—normal-normal pairs show systematically lower housekeeping-gene divergence than tumor-tumor pairs in all five cancer types, while tumor pairs show the higher functional-gene divergence (k_f)—so the data do not indicate smaller functional divergence of tumor cells. A marker-panel composition check quantifies the composition confound directly (Supplementary Note 8): tumor-tumor pairs do show larger composition differences than normal-normal pairs (median |Delta z| 1.33–1.46-fold higher across the immune, stromal, and epithelial panels, and 1.24-fold with the myeloid panel included; all P &lt; 10⁻⁷⁷), and within tumor-tumor pairs k_n correlates with the overall four-panel composition difference (Spearman ρ = 0.387 pooled; 0.23–0.52 per cancer type); however, in regressions of log k_n on pair type with the four composition deltas as covariates—including a myeloid panel (CD68, CD163, LST1, FCGR3A, C1QA)—and sample-level cluster bootstrap confidence intervals (B = 200), the tumor-pair coefficient attenuates by −0.5% pooled (95% CI [−3.2%, +2.6%]), with marked per-cancer heterogeneity (BRCA −14.0%, LUSC −9.7%, LUAD −2.3%, KIRC +19.6%, LIHC +33.5%). Because marker panels are noisy proxies for true composition, these attenuation estimates are lower bounds on the true composition contribution; the pooled tumor-pair k_n excess is therefore not fully explained by a noisy marker-panel proxy, but neither can a marker-panel regression exclude composition as the driver—plausibly reflecting tumor-specific housekeeping dysregulation </w:t>
      </w:r>
      <w:r>
        <w:rPr>
          <w:rFonts w:ascii="Arial" w:hAnsi="Arial"/>
          <w:b w:val="0"/>
          <w:i w:val="0"/>
          <w:color w:val="000000"/>
          <w:sz w:val="22"/>
          <w:vertAlign w:val="superscript"/>
        </w:rPr>
        <w:t>39</w:t>
      </w:r>
      <w:r>
        <w:rPr>
          <w:rFonts w:ascii="Arial" w:hAnsi="Arial"/>
          <w:b w:val="0"/>
          <w:i w:val="0"/>
          <w:color w:val="000000"/>
          <w:sz w:val="22"/>
        </w:rPr>
        <w:t xml:space="preserve"> or RNA-quality differences instead, and single-cell or deconvolution-based validation remains necessary. The PAM50 gradient cannot be read as a functional-divergence ordering: under k_f-only analysis the subtype ordering largely reverses (Luminal A lowest mean k_f, Basal-like highest; Supplementary Note 9), so the ω gradient is predominantly a baseline effect, and the proliferation-confound explanation (aggressive subtypes proliferate fastest) remains. The raw ω scale also varies substantially across datasets and computation schemes (e.g., BRCA Luminal A ω ≈ 142.0 versus mean brain regional ω = 38.55). In TCGA, per-pair k_n is comparable to the single-cell datasets (mean 0.005, range 1.6 × 10⁻⁴–5.6 × 10⁻², versus a mean per-pair k_n of 0.0035 in the brain single-nucleus dataset), so the higher raw ω in TCGA is driven primarily by a larger k_f: bulk tumor-versus-normal expression differences span thousands of genes. Cross-dataset ω comparisons should therefore be interpreted as rank-based rather than absolute.</w:t>
      </w:r>
    </w:p>
    <w:p>
      <w:pPr>
        <w:spacing w:line="276" w:lineRule="auto" w:after="80"/>
        <w:ind w:firstLine="0"/>
      </w:pPr>
      <w:r>
        <w:rPr>
          <w:rFonts w:ascii="Arial" w:hAnsi="Arial"/>
          <w:b w:val="0"/>
          <w:i w:val="0"/>
          <w:color w:val="000000"/>
          <w:sz w:val="22"/>
        </w:rPr>
        <w:t xml:space="preserve">The cross-organ and cross-brain-region analyses indicate that CKI can serve as a general tool for measuring functional differentiation at multiple spatial scales. The brain analysis showed a 6.10-fold ω gradient across 10 cell classes (from 13.56 in Bergmann glia and vascular cells to 82.75 in astrocytes; excluding Bergmann glia, whose comparisons are all intra-cerebellar, the gradient remains 6.10-fold; the ratio of class means is invariant to any shared calibration constant, and under class-specific split-half baselines it is 5.99, 95% CI [4.43, 7.69] under a studentized bootstrap-t region-clustered bootstrap, which attains nominal coverage at 6–7 clusters where the earlier percentile interval [4.12, 9.18] under-covers; Supplementary Note 2), significant at the cell-class level under a block-shuffle null for 4 of 10 classes (3 of 10 after Benjamini-Hochberg correction). Component decomposition, however, shows the gradient is a composite signal dominated by the k_n denominator (k_n contributes 3.21-fold versus 2.03-fold from k_f; product 6.51, slightly above the 6.10 ratio of class means because the mean of per-pair ratios is not the ratio of component means), so it should not be read as a pure functional-divergence ranking. The multiplicative residual model identified 39 Strong candidates; under the block-shuffle null (B = 1,000) 31 showed raw P &lt; 0.05, but none survived Benjamini-Hochberg correction across all 31,764 pairs (minimum q = 0.520); the raw-P enrichment is strongly tier-dependent (raw P &lt; 0.05 in 79.5% of Strong, 35.6% of Moderate, 16.9% of Weak, and 2.4% of unclassified pairs, versus 6.2% overall), which we report as a post-hoc coherence check—its statistical caveats, including the mathematical coupling between the tier rule and the per-pair P values (both are monotone functions of the same observed and null ω), are quantified in Supplementary Note 13—rather than FDR-controlled evidence. The candidates concentrate in microglia (16 of 39) and mature oligodendrocytes (10, all with raw P &lt; 0.05), while the oligodendrocyte lineage as a whole shows no enrichment (12 of 39 candidates versus a 40.2% share of comparisons; fold enrichment 0.77, P = 0.92). Re-analysis against the null-rule composition shows the microglial concentration mirrors the screening rule’s intrinsic bias toward low-ω classes (fold 0.31; Results). The thalamo-temporal orientation of the oligodendrocyte candidates with the developmental origin boundaries of mature oligodendrocytes </w:t>
      </w:r>
      <w:r>
        <w:rPr>
          <w:rFonts w:ascii="Arial" w:hAnsi="Arial"/>
          <w:b w:val="0"/>
          <w:i w:val="0"/>
          <w:color w:val="000000"/>
          <w:sz w:val="22"/>
          <w:vertAlign w:val="superscript"/>
        </w:rPr>
        <w:t>27</w:t>
      </w:r>
      <w:r>
        <w:rPr>
          <w:rFonts w:ascii="Arial" w:hAnsi="Arial"/>
          <w:b w:val="0"/>
          <w:i w:val="0"/>
          <w:color w:val="000000"/>
          <w:sz w:val="22"/>
        </w:rPr>
        <w:t xml:space="preserve"> remains an interpretation requiring lineage-tracing validation. These results illustrate a general principle for high-throughput screens in single-cell atlases: statistical claims require nulls that respect the experimental design, and the absence of FDR-significant signals is itself informative, delimiting what can be concluded from adult transcriptomes alone. Preliminary cross-species validation using shared cell types between mouse and human atlases </w:t>
      </w:r>
      <w:r>
        <w:rPr>
          <w:rFonts w:ascii="Arial" w:hAnsi="Arial"/>
          <w:b w:val="0"/>
          <w:i w:val="0"/>
          <w:color w:val="000000"/>
          <w:sz w:val="22"/>
          <w:vertAlign w:val="superscript"/>
        </w:rPr>
        <w:t>40</w:t>
      </w:r>
      <w:r>
        <w:rPr>
          <w:rFonts w:ascii="Arial" w:hAnsi="Arial"/>
          <w:b w:val="0"/>
          <w:i w:val="0"/>
          <w:color w:val="000000"/>
          <w:sz w:val="22"/>
        </w:rPr>
        <w:t xml:space="preserve"> was limited by the small number of directly comparable cell types: across the 15 shared cell types, per-cell-type mean ω rankings showed no significant cross-species correlation (Spearman r = −0.17, P = 0.55; Supplementary Fig. 11), so cell-type-level cross-species transferability of ω remains unestablished; absolute values also differ with the computation scheme (global top-2,000-HVG full matrix for mouse, per-pair hybrid for human).</w:t>
      </w:r>
    </w:p>
    <w:p>
      <w:pPr>
        <w:spacing w:line="276" w:lineRule="auto" w:after="80"/>
        <w:ind w:firstLine="0"/>
      </w:pPr>
      <w:r>
        <w:rPr>
          <w:rFonts w:ascii="Arial" w:hAnsi="Arial"/>
          <w:b w:val="0"/>
          <w:i w:val="0"/>
          <w:color w:val="000000"/>
          <w:sz w:val="22"/>
        </w:rPr>
        <w:t xml:space="preserve">Although no individual candidate survives FDR correction, several signals are consistent with prior reports—literature anchoring rather than independent validation. Maturation comparisons must be made on the k_f-only ordering rather than the composite ω ordering, because the composite is k_n-dominated (Results): under k_f alone the lineage ranks committed OPCs (k_f class mean 0.197, the highest of all ten classes; estimated from only 4,118 nuclei and 1,326 pairs, the sparsest stage of the lineage, so this rank carries the widest sampling uncertainty of the three) above oligodendrocytes (0.054), with OPCs lowest (0.048)—an ordering partially consistent with the single-cell observation that early oligodendrocyte differentiation stages are broadly similar across juvenile CNS regions, whereas subsets of mature oligodendrocytes become enriched in specific regions of the adult brain </w:t>
      </w:r>
      <w:r>
        <w:rPr>
          <w:rFonts w:ascii="Arial" w:hAnsi="Arial"/>
          <w:b w:val="0"/>
          <w:i w:val="0"/>
          <w:color w:val="000000"/>
          <w:sz w:val="22"/>
          <w:vertAlign w:val="superscript"/>
        </w:rPr>
        <w:t>41,42</w:t>
      </w:r>
      <w:r>
        <w:rPr>
          <w:rFonts w:ascii="Arial" w:hAnsi="Arial"/>
          <w:b w:val="0"/>
          <w:i w:val="0"/>
          <w:color w:val="000000"/>
          <w:sz w:val="22"/>
        </w:rPr>
        <w:t xml:space="preserve">, although the high k_f rank of committed OPCs (highest of all ten classes) is predicted by neither reference—whereas the composite ω ordering gives the opposite picture (OPCs 40.62 above oligodendrocytes 37.05 above committed OPCs 28.84). The tension between the two orderings is itself informative: neither supports the simple monotone-maturation reading of the composite gradient. The thalamo-temporal orientation of the mature-oligodendrocyte candidates (GPe–TF, MG–TF, LP–TF, STH–TF, with MG appearing in three pairs and six of ten candidates having a thalamic relay-nucleus endpoint, eight if the subthalamic nucleus is counted) concentrates on the thalamo-temporal axis rather than being scattered across the 108 regions. As a descriptive, exploratory characterization—not an inferential claim—we compared this concentration against two null references. A uniform-draw permutation test that preserves the endpoint co-occurrence structure of the 5,778 mature-oligodendrocyte pairs (10 pairs drawn without replacement, B = 100,000) gives thalamic-relay endpoint in 6 of 10 candidates versus a null mean of 1.95, P = 1.005 × 10⁻⁵; temporal-fusiform endpoint in 4 of 10 versus a null mean of 0.19; the combined thalamo-temporal axis in 9 of 10 versus a null mean of 2.27. A selection-rule-matched null at the same specification as the microglia composition analysis—the Strong rule (low ω, high multiplicative deviation, lowest-in-pair) re-evaluated on every block-shuffle permutation (B = 1,000)—qualifies this: the rule-matched null generates more survivors than observed (mean 43.7 versus 10), so absolute hit counts are not extreme (thalamic-relay 6 versus a null mean of 6.58, P = 0.48; temporal-fusiform 4 versus 1.51, P = 0.13; combined axis 9 versus 8.49, P = 0.38), whereas the per-candidate hit rate remains concentrated across all three endpoints (thalamic-relay 0.60 versus a null mean rate of 0.15, P = 0.005; temporal-fusiform 0.40 versus 0.03, P = 0.002; combined axis 0.90 versus 0.19, P = 0.001; these per-candidate hit-rate P values are conditional on the selected survivor set and are not valid post-selection P values; Supplementary Note 13). We therefore describe, as an exploratory observation rather than an inferential claim, an axis concentration of the surviving candidates (not an axis excess of candidates)—a pattern difficult to reconcile with migration; its correspondence with the developmental organization of forebrain oligodendrocytes demonstrated experimentally by Foerster et al. </w:t>
      </w:r>
      <w:r>
        <w:rPr>
          <w:rFonts w:ascii="Arial" w:hAnsi="Arial"/>
          <w:b w:val="0"/>
          <w:i w:val="0"/>
          <w:color w:val="000000"/>
          <w:sz w:val="22"/>
          <w:vertAlign w:val="superscript"/>
        </w:rPr>
        <w:t>27</w:t>
      </w:r>
      <w:r>
        <w:rPr>
          <w:rFonts w:ascii="Arial" w:hAnsi="Arial"/>
          <w:b w:val="0"/>
          <w:i w:val="0"/>
          <w:color w:val="000000"/>
          <w:sz w:val="22"/>
        </w:rPr>
        <w:t xml:space="preserve"> remains at the level of axis anatomy, however, because the candidate pairs cross rather than follow the dorsoventral origin boundary. Each of these correspondences is a descriptive, exploratory consistency check at the level of direction and anatomical logic, from which we draw no strong inferential claim; none constitutes independent validation of any specific region pair, and lineage-tracing or spatial-transcriptomic follow-up remains necessary.</w:t>
      </w:r>
    </w:p>
    <w:p>
      <w:pPr>
        <w:spacing w:line="276" w:lineRule="auto" w:after="80"/>
        <w:ind w:firstLine="0"/>
      </w:pPr>
      <w:r>
        <w:rPr>
          <w:rFonts w:ascii="Arial" w:hAnsi="Arial"/>
          <w:b w:val="0"/>
          <w:i w:val="0"/>
          <w:color w:val="000000"/>
          <w:sz w:val="22"/>
        </w:rPr>
        <w:t xml:space="preserve">CKI and standard metrics answer different questions, and choosing between them can be reduced to a few practical rules. Use CKI when the question is relative: is the functional divergence between two populations larger than what their own housekeeping baseline varies by, within the same dataset and gene-selection scheme? CKI then offers (i) a normalized, interpretable scale (ω relative to the split-half calibration), (ii) higher discrimination than raw distances for strong perturbations (simulation AUC 0.80 for ω versus 0.72 for k_f, 0.64 for raw JS, and 0.58 for cosine—under the simulation’s HK-anchored neutral-drift definition and top-200 gene selection; Results), and (iii) a specificity-first screen: with a design-matched permutation null, a significant ω rejects label exchangeability under that null, and attribution to functional divergence further requires excluding library-level confounders (batch, donor, dissection order, RNA quality; limitations discussed below); drift on the anchor is the null hypothesis by construction, and functional signal on the anchor is invisible to ω. Before trusting fine-grained ω orderings, diagnose the denominator: if per-pair k_n itself lies in the extreme tail of its own null distribution, or k_n correlates with technical covariates (composition estimates, batch, RNA-quality proxies), report k_f (or SES(k_f)) with the design-matched null directly rather than the ratio. In the real data analyzed here, ω orderings were predominantly denominator-driven (brain class-mean ρ(ω, k_n) = −0.73; TCGA NN/TT inversion and the supplementary stratification vignettes predominantly denominator effects; the LUAD KRAS gradient as the k_f-stable exception; cross-organ cell-type ranking not reproduced under k_f-only; Supplementary Note 9), so the honest default for ordering claims is k_f plus a design-matched null, with ω reserved for its specificity-first property—rejecting HK-anchored neutral drift—rather than for ranking; the real-data neutral-drift calibration on technical replicates supports exactly this reading (ω misreported least among all compared metrics at every tier of the drift ladder while retaining sensitivity to genuine regional divergence; Results). A real perturbation demonstration (Kang et al. </w:t>
      </w:r>
      <w:r>
        <w:rPr>
          <w:rFonts w:ascii="Arial" w:hAnsi="Arial"/>
          <w:b w:val="0"/>
          <w:i w:val="0"/>
          <w:color w:val="000000"/>
          <w:sz w:val="22"/>
          <w:vertAlign w:val="superscript"/>
        </w:rPr>
        <w:t>14</w:t>
      </w:r>
      <w:r>
        <w:rPr>
          <w:rFonts w:ascii="Arial" w:hAnsi="Arial"/>
          <w:b w:val="0"/>
          <w:i w:val="0"/>
          <w:color w:val="000000"/>
          <w:sz w:val="22"/>
        </w:rPr>
        <w:t>; Results) supports this boundary within the limits of its lane-confounded design: IFN-β stimulation raises k_n itself 1.2–5.7-fold above the donor-drift level, and where it does so most strongly (CD14+ monocytes) the ω AUC for separating perturbation from donor drift falls to 0.55 while k_f retains 0.98. This makes explicit that the index presupposes anchor stationarity: when the anchor itself moves, cross-metric contrasts—not absolute ω values—are the reliable signal (Supplementary Fig. 3). Use standard metrics when any of the following hold: absolute distances with cross-dataset meaning are required (ω does not transfer across datasets or schemes—compare ranks only); the task is classification or clustering of cell types (a largely solved problem where normalization adds little); weak-to-moderate effects must be detected at atlas scale (CKI’s sensitivity is bounded by permutation resolution and multiplicity, as the brain analysis illustrates); or the analysis needs an orthogonal signal dimension (ω is a k_n-dominated composite correlated with the standard metrics, not an independent axis). When the baseline itself is suspect—bulk data with composition shifts, as in TCGA—interpret k_n and k_f separately (or use k_f-only orderings with composition controls) rather than trusting ω alone.</w:t>
      </w:r>
    </w:p>
    <w:p>
      <w:pPr>
        <w:spacing w:line="276" w:lineRule="auto" w:after="80"/>
        <w:ind w:firstLine="0"/>
      </w:pPr>
      <w:r>
        <w:rPr>
          <w:rFonts w:ascii="Arial" w:hAnsi="Arial"/>
          <w:b w:val="0"/>
          <w:i w:val="0"/>
          <w:color w:val="000000"/>
          <w:sz w:val="22"/>
        </w:rPr>
        <w:t>For prospective applications of CKI we recommend the following. (i) Cell numbers: use at least 100–200 cells per group; the calibration controls and simulation replicates used 100–200 cells, and below this range pseudobulk noise inflates both k_n and k_f unpredictably. (ii) Reference gene set: use the HRT Atlas v1.0 housekeeping panel (shipped with the package as cki/data/hrt_atlas.csv) rather than data-driven auto-detection, so that k_n is anchored to a pre-specified constrained gene set. (iii) Estimation: compare populations only within the same dataset and the same gene-selection scheme; absolute ω does not transfer across datasets or schemes (Results). (iv) Baseline: calibrate within the dataset of interest by randomly splitting the same population into halves and computing split-half ω with the analysis pipeline being used, and interpret ω relative to that internal baseline rather than the mouse-derived 7.70. (v) Inference: use a permutation null that matches the experimental design (block-shuffle where libraries or donors define blocks)—the reference implementation used here is provided in the package as cki.blocknull.block_shuffle_test—and expect bounded sensitivity: ω is a specificity-first screen whose value is rejecting neutral drift, not detecting weak-to-moderate functional shifts.</w:t>
      </w:r>
    </w:p>
    <w:p>
      <w:pPr>
        <w:spacing w:line="276" w:lineRule="auto" w:after="80"/>
        <w:ind w:firstLine="0"/>
      </w:pPr>
      <w:r>
        <w:rPr>
          <w:rFonts w:ascii="Arial" w:hAnsi="Arial"/>
          <w:b w:val="0"/>
          <w:i w:val="0"/>
          <w:color w:val="000000"/>
          <w:sz w:val="22"/>
        </w:rPr>
        <w:t>Scope of the index, parameters, and test direction. CKI currently operates at the pseudobulk level; single-cell extensions would need to address sparsity and dropout. Key parameters (the +1 normalization pseudo-count, the ε = 1e-9 numerical guard, top-200 differentially expressed (DE) genes for k_f, HVG count of 2,000, log-base 2 for JS divergence) were chosen based on practical considerations rather than formal optimization; sensitivity analyses showed robustness to parameter variation, but a systematic simultaneous parameter sweep was not performed. The ω distribution is right-skewed and non-normal for the large datasets (brain skewness = 2.22, excess kurtosis = 6.02, D’Agostino-Pearson P &lt; 2.2 × 10⁻¹⁶; human Shapiro-Wilk P = 7.6 × 10⁻⁴²; the mouse pilot at n = 15 pairs does not reject normality, P = 0.071; Supplementary Fig. 12), so SES is reported as a descriptive measure of effect size rather than a parametric test statistic. The one-sided permutation test (H1: ω_obs &gt; ω_null) does not detect functional constraint (ω_obs &lt; ω_null); users investigating bidirectional hypotheses should employ two-sided permutation tests, available via the tail parameter ("upper", "lower", or "two-sided") in the CKI package (bootstrap_test(); the standardized effect size is returned under the ses key, formerly cohens_d). The brain analysis was restricted to non-neuronal cell types because the supercluster_term annotation does not resolve neuronal subtype heterogeneity, limiting the generalizability of our brain regional findings to non-neuronal lineages.</w:t>
      </w:r>
    </w:p>
    <w:p>
      <w:pPr>
        <w:spacing w:line="276" w:lineRule="auto" w:after="80"/>
        <w:ind w:firstLine="0"/>
      </w:pPr>
      <w:r>
        <w:rPr>
          <w:rFonts w:ascii="Arial" w:hAnsi="Arial"/>
          <w:b w:val="0"/>
          <w:i w:val="0"/>
          <w:color w:val="000000"/>
          <w:sz w:val="22"/>
        </w:rPr>
        <w:t xml:space="preserve">Gene-set definition, calibration, and estimator dependence. CKI uses the HRT Atlas v1.0 reference </w:t>
      </w:r>
      <w:r>
        <w:rPr>
          <w:rFonts w:ascii="Arial" w:hAnsi="Arial"/>
          <w:b w:val="0"/>
          <w:i w:val="0"/>
          <w:color w:val="000000"/>
          <w:sz w:val="22"/>
          <w:vertAlign w:val="superscript"/>
        </w:rPr>
        <w:t>13</w:t>
      </w:r>
      <w:r>
        <w:rPr>
          <w:rFonts w:ascii="Arial" w:hAnsi="Arial"/>
          <w:b w:val="0"/>
          <w:i w:val="0"/>
          <w:color w:val="000000"/>
          <w:sz w:val="22"/>
        </w:rPr>
        <w:t xml:space="preserve"> for all reported analyses; the package also supports data-driven auto-detection (combined detection-rate and CV filtering, use_reference = False), not used here, and sensitivity analysis showed robustness to alternative HK definitions (the lowest 10% variable genes as a constrained set yielded ω correlations r &gt; 0.95). Identity-gene selection for k_f introduces systematic inflation: calibration controls (random split of the same population) yielded a mean ω = 7.70, because pre-selecting genes by the observed group difference (DE scheme) or by high cross-cell variance (HVG scheme) inflates k_f even for identical populations; the permutation test accounts for this by constructing the null under the same gene-selection procedure. A further concern is the circular dependency of the per-pair k_f scheme—the top-200 genes are selected by |μ_A − μ_B|, so the genes defining functional divergence are precisely those with the largest expression differences—and although the permutation null preserves this selection, k_f magnitudes lack independent external validation and should be interpreted as an upper bound; the fixed gene-panel ablation (Results) confirmed that replacing the circular panel deflates absolute ω while preserving rankings, so absolute tier thresholds are scheme-specific. Housekeeping gene expression may be dysregulated in cancer </w:t>
      </w:r>
      <w:r>
        <w:rPr>
          <w:rFonts w:ascii="Arial" w:hAnsi="Arial"/>
          <w:b w:val="0"/>
          <w:i w:val="0"/>
          <w:color w:val="000000"/>
          <w:sz w:val="22"/>
          <w:vertAlign w:val="superscript"/>
        </w:rPr>
        <w:t>39</w:t>
      </w:r>
      <w:r>
        <w:rPr>
          <w:rFonts w:ascii="Arial" w:hAnsi="Arial"/>
          <w:b w:val="0"/>
          <w:i w:val="0"/>
          <w:color w:val="000000"/>
          <w:sz w:val="22"/>
        </w:rPr>
        <w:t>, potentially affecting the k_n baseline in a disease-specific manner—one instance of the anchor-failure scope stated with the concept definition (Introduction). The empirical calibration factor (ω_cal = ω / 7.70, 95% CI [7.37, 8.02]) derives from mouse split-half controls (50 replicates across six control populations) under the per-pair DE hybrid scheme; the mouse full pairwise matrix (703 pairs, Supplementary Fig. 1) uses a different scheme (global top-2,000 HVGs), so cross-scheme comparison of absolute ω requires caution. Applying the CI bounds shifts ω_cal by factors of 1.04 and 0.96; all CKI conclusions, which rely on rank-based interpretation, are robust to this range. Scheme-matched split-half calibration inside the two large single-cell datasets shows the baseline is dataset-dependent: the Tabula Sapiens internal baseline is 7.67 (95% bootstrap CI [7.39, 8.00]) and lies within the mouse CI [7.37, 8.02], whereas the brain-internal baseline (9.73, 95% CI [9.03, 10.53]) is approximately 1.3-fold higher, so the mouse-derived ω_cal overstates calibrated values in the brain dataset (Bergmann glia ω_cal ≈ 1.4 under the internal baseline rather than ≈ 1.8). ω_cal therefore restores the interpretability of the ratio framework only in a dataset-relative sense, and the baseline may vary across tissues, species, and platforms. We verified scheme-specific transferability directly through scheme-matched split-half calibration inside the brain atlas and inside Tabula Sapiens (Methods); dataset-internal baselines—computable with the split-half procedure and calibrate_omega() in the CKI package—should be preferred whenever absolute calibrated values are required. Although k_n is computed per pair on the shared HK gene set, it varies substantially across pairs (brain per-pair CV = 97.52%), and the class-level ω gradient is predominantly denominator-driven (Results); a global-k_n variant produced substantially different ω rankings because it effectively rescales k_f alone, whereas an aggregate-first estimator preserved the ordering (Results), so fine-grained ω orderings should be interpreted with the estimator choice in mind. Finally, k_n can approach zero under strong pseudobulk averaging (e.g., bulk RNA-seq); users comparing absolute ω magnitudes across datasets should verify that per-pair k_n is well above any floor applied (TCGA applies kn_floor = 1 × 10⁻⁴; all single-cell analyses use the package default kn_floor = 0; Methods).</w:t>
      </w:r>
    </w:p>
    <w:p>
      <w:pPr>
        <w:spacing w:line="276" w:lineRule="auto" w:after="80"/>
        <w:ind w:firstLine="0"/>
      </w:pPr>
      <w:r>
        <w:rPr>
          <w:rFonts w:ascii="Arial" w:hAnsi="Arial"/>
          <w:b w:val="0"/>
          <w:i w:val="0"/>
          <w:color w:val="000000"/>
          <w:sz w:val="22"/>
        </w:rPr>
        <w:t>Data- and design-specific constraints. TCGA analysis was limited to bulk RNA-seq resolution; the per-cancer permutation test (B = 1,000) permutes sample labels (tumor vs. normal) and holds the identity gene panel fixed across permutations, which is anti-conservative relative to per-permutation re-selection (Methods), and with 5 cancer types the TCGA results are exploratory. On the pair-level TCGA data (35,306 pairs) the kn_floor = 1 × 10⁻⁴ denominator floor was triggered by a single pair (1 of 35,306: k_n = 8.41 × 10⁻⁵, a KIRC NN pair; floor fraction &lt; 0.1%), so pair-level ω is effectively k_f/k_n and remains a k_n-dominated composite (Spearman ρ(log ω, log k_f) = +0.04, ρ(log ω, log k_n) = −0.82; log-scale variance of k_n accounts for ≈ 72%); the saturation caveat applies only to the aggregate tumor-versus-normal analysis (aggregate k_n ranged from 3.0 × 10⁻⁵ to 1.9 × 10⁻⁴, so aggregate ω saturates at k_f/10⁻⁴ in 3 of 5 cancer types), and all single-cell analyses use the package default positivity guard only (kn_floor = 0), leaving k_n uncapped. The brain analysis uses post-mortem tissue; post-mortem interval (PMI) varies across samples and may differentially affect RNA integrity by region and cell type, potentially biasing regional ω comparisons—in particular, mitochondrial transcripts degrade faster post-mortem than nuclear-encoded mRNAs, so regionally differential degradation of mitochondrial and nuclear-encoded metabolic genes within the HK set could masquerade as regional structure in k_n; because the candidate screen is rule-driven rather than evidence of PMI robustness (Results), PMI sensitivity would need per-candidate evaluation—particularly for the thalamic and cortical dissections—and developmental time courses with controlled collection would provide stronger evidence for region-association inference. Donor-level PMI and RNA-integrity covariates were not available to us for this atlas, so a direct correlation between PMI and per-pair k_n could not be tested; such a check is the minimal sensitivity analysis required before any candidate-level region-association claim. In addition, the brain atlas is single-nucleus rather than whole-cell RNA-seq: nuclear capture depletes cytoplasmic transcripts, and if this depletion acts differently on housekeeping (k_n) and identity (k_f) gene sets—for example, because identity genes are enriched for secreted or membrane proteins—per-pair ω could shift systematically across classes; we did not model this nucleocytoplasmic bias explicitly. Relatedly, the brain class gradient is inflated by class-size imbalance: class-mean k_n is confounded with class nuclei count (Spearman ρ = −0.648, P = 0.043), and equal-n downsampling attenuates the endpoint gradient from 6.10-fold to 1.74-fold (direction preserved, magnitude attenuated ~70%; Results), so the headline magnitude—though not its direction—is a property of the unbalanced class sizes. Similarly, the +1 pseudocount added before the JS divergence acts asymmetrically on the two gene sets: k_n, computed on highly expressed housekeeping genes, is largely insensitive to it, whereas k_f, which includes lowly expressed regulatory genes, is more affected, and JS divergence on probability vectors is inherently dominated by high-expression genes (Supplementary Note 15 excludes dimension effects but not expression-level effects); the ‘functional’ reading of k_f should be tempered accordingly. A semi-synthetic ground-truth simulation (module-shift injection on a real single-cell background; Supplementary Note 1) validated the specificity of ω against neutral drift (type-I error 0.00–0.02, versus 0.55–0.58 for raw JS and cosine) but bounded its sensitivity: detecting injected module shifts was background-dependent—in the marrow background ω required δ = 2 (fourfold shifts on at least 200 genes), whereas the skin background reached 91% detection at δ = 1 (twofold shifts on at least 200 genes)—and ω ranked below raw JS and cosine in raw detection power while ranking first in functional-versus-neutral discrimination (AUC = 0.80). The simulation was restricted to two backgrounds (one cell type each: marrow B cells and skin keratinocyte stem cells), a single module-size series, and simple multiplicative perturbations; lineage-structured, gradual, or compensatory ground truths were not evaluated, and no head-to-head comparison against specialized cross-dataset integration methods (e.g., SATURN) was performed.</w:t>
      </w:r>
    </w:p>
    <w:p>
      <w:pPr>
        <w:spacing w:line="276" w:lineRule="auto" w:after="80"/>
        <w:ind w:firstLine="0"/>
      </w:pPr>
      <w:r>
        <w:rPr>
          <w:rFonts w:ascii="Arial" w:hAnsi="Arial"/>
          <w:b w:val="0"/>
          <w:i w:val="0"/>
          <w:color w:val="000000"/>
          <w:sz w:val="22"/>
        </w:rPr>
        <w:t>Anchor-visibility boundary and benchmarking scope. Two related boundaries delimit where ω can fire. ω is structurally insensitive to perturbations that move the housekeeping anchor itself: in the mean-shift simulation, once 500 genes shifted fourfold or more, k_n detected the shift perfectly (AUC = 1.000) and the ratio collapsed (AUC 0.05–0.13), while MELD and the scDist approximation detected every configuration (sensitivity 1.00; Results). This insensitivity is the flip side of the specificity that defines the index and must be treated as a hard boundary, not a tunable parameter. A stronger neutral model that reassigns gene identity while exactly preserving library size and composition (gene-pair swap; N2 control) defeats every gene-aware metric equally: ω, raw JS, and cosine all flag every replicate (FPR = 1.00), because the swap preserves the expression-value multiset while the swapped genes dominate the per-pair top-200 set (Supplementary Note 5). We do not read such identity reassignment as neutral—it is precisely the signal ω is designed to detect—but under it ω holds no specificity advantage over anchor-free metrics. Separately, donor-paired permutation power vanishes at large pseudobulk size: power falls from 0.67–0.93 at 50 cells per donor per condition to ≈ 0 at n ≳ 500, so the practical operating window is roughly 50–200 cells per donor per condition. Finally, the scDist results reported in this work were obtained with a Python approximation of scDist (the original is an R package and was not run here), so absolute scDist distances should be compared against the original implementation before being cited quantitatively.</w:t>
      </w:r>
    </w:p>
    <w:p>
      <w:pPr>
        <w:spacing w:line="276" w:lineRule="auto" w:after="80"/>
        <w:ind w:firstLine="0"/>
      </w:pPr>
      <w:r>
        <w:rPr>
          <w:rFonts w:ascii="Arial" w:hAnsi="Arial"/>
          <w:b w:val="0"/>
          <w:i w:val="0"/>
          <w:color w:val="000000"/>
          <w:sz w:val="22"/>
        </w:rPr>
        <w:t>Multiple testing and cluster-aware inference. The brain regional analysis generated 31,764 cross-region comparisons; Benjamini-Hochberg FDR correction was applied within each dataset separately (group-level tests: m = 10 for brain, 17 for human, 15 for mouse; residual model: m = 31,764). The class-level upper-tail tests (m = 10) and the pair-level lower-tail screen (m = 31,764) are families with opposite directional hypotheses and are reported separately; no cross-family joint correction is applied, so a rejection in one family licenses no claim in the other. The 39 Strong candidates represent the most extreme deviations from the multiplicative expectation; none survived Benjamini-Hochberg correction under the block-shuffle null (minimum q = 0.520; the cell-type-stratified minimum q = 0.042 is confined to the intra-cerebellar Bergmann-glia family and crosses no class boundaries), and 31 had raw P &lt; 0.05—they should be interpreted as hypothesis-generating signals requiring independent validation, with the systematic concordance with known developmental biology providing post hoc plausibility but not FDR-controlled discovery. The block-shuffle null treats each 10x library as an atomic block and assumes libraries are otherwise exchangeable, so systematic library-level confounding not removed by the design (e.g., batch correlated with dissection order) would distort the null in ways the permutation cannot capture. The pseudo-region negative control bounds this possibility empirically: in a structure-free re-run of the same test on 127,756 pseudo-pairs, the marginal tail rates (5.79% lower, 6.87% upper) closely match the real analysis (6.17%/7.90%), so the observed over-dispersion is attributable to library-level grouping shared by both designs rather than to null-width mismatch (Results; Supplementary Note 12, Supplementary Fig. 10). In addition, B = 1,000 permutations bounds the resolvable P-value at 9.99 × 10⁻⁴; because the BH threshold for the smallest of m = 31,764 ordered P-values is 0.05/31,764 ≈ 1.6 × 10⁻⁶, detecting FDR-significant per-pair signals at B = 1,000 would require ~635 of the 31,764 P-values to sit simultaneously at the permutation floor—a regime the empirical FDR analysis shows is not approached—or B ≈ 6 × 10⁵ permutations (or a hierarchically structured multiplicity model). Because per-signal tests share cell types and regions, BH correction over all pairs is itself approximate; BH-FDR is applied separately within each dataset, so significance thresholds are not directly comparable across datasets, and cross-dataset meta-analysis would require a unified multiple-testing framework.</w:t>
      </w:r>
    </w:p>
    <w:p>
      <w:pPr>
        <w:spacing w:line="276" w:lineRule="auto" w:after="80"/>
        <w:ind w:firstLine="0"/>
      </w:pPr>
      <w:r>
        <w:rPr>
          <w:rFonts w:ascii="Arial" w:hAnsi="Arial"/>
          <w:b w:val="0"/>
          <w:i w:val="0"/>
          <w:color w:val="000000"/>
          <w:sz w:val="22"/>
        </w:rPr>
        <w:t>Future directions include developmental biology (quantifying functional differentiation between developmental stages), drug response profiling (measuring selectivity of drug-induced transcriptional changes), aging research (tracking age-related baseline vs. functional transcriptional drift), and evolutionary cell biology (quantifying conservation and divergence of cell-type programs across the tree of life). The CKI Python package (v0.5.0) and all analysis notebooks are available at https://github.com/zhanglknt/CKI-cell-type-identification under the MIT License.</w:t>
      </w:r>
    </w:p>
    <w:p>
      <w:pPr>
        <w:spacing w:line="276" w:lineRule="auto" w:after="80"/>
        <w:ind w:firstLine="0"/>
      </w:pPr>
      <w:r>
        <w:rPr>
          <w:rFonts w:ascii="Arial" w:hAnsi="Arial"/>
          <w:b w:val="0"/>
          <w:i w:val="0"/>
          <w:color w:val="000000"/>
          <w:sz w:val="22"/>
        </w:rPr>
        <w:t>CKI adapts the baseline-normalization logic of Ka/Ks to single-cell transcriptomics, decomposing population divergence into a housekeeping baseline rate (k_n) and an identity-gene functional rate (k_f). Across simulation, calibration, cross-organ, pan-cancer, and brain-regional analyses, we showed that ω rankings carry reproducible biological signal while absolute ω values remain scheme- and dataset-specific, that statistical claims at atlas scale require nulls respecting the experimental design, and that the absence of FDR-significant candidates is itself an informative bound on what adult transcriptomes alone can support. CKI is released as an open-source Python package with a fully reproducible analysis pipeline, and we anticipate its use as an interpretable complement to standard distance metrics in comparative single-cell analyses.</w:t>
      </w:r>
    </w:p>
    <w:p>
      <w:pPr>
        <w:pStyle w:val="Heading1"/>
        <w:spacing w:before="420" w:after="160"/>
      </w:pPr>
      <w:r>
        <w:rPr>
          <w:rFonts w:ascii="Arial" w:hAnsi="Arial"/>
          <w:color w:val="000000"/>
          <w:sz w:val="28"/>
          <w:b/>
        </w:rPr>
        <w:t>Methods</w:t>
      </w:r>
    </w:p>
    <w:p>
      <w:pPr>
        <w:pStyle w:val="Heading2"/>
        <w:spacing w:before="420" w:after="160"/>
      </w:pPr>
      <w:r>
        <w:rPr>
          <w:rFonts w:ascii="Arial" w:hAnsi="Arial"/>
          <w:color w:val="000000"/>
          <w:sz w:val="24"/>
          <w:b/>
        </w:rPr>
        <w:t>CKI computation</w:t>
      </w:r>
    </w:p>
    <w:p>
      <w:pPr>
        <w:spacing w:line="276" w:lineRule="auto" w:after="80"/>
        <w:ind w:firstLine="0"/>
      </w:pPr>
      <w:r>
        <w:rPr>
          <w:rFonts w:ascii="Arial" w:hAnsi="Arial"/>
          <w:b w:val="0"/>
          <w:i w:val="0"/>
          <w:color w:val="000000"/>
          <w:sz w:val="22"/>
        </w:rPr>
        <w:t xml:space="preserve">We normalize raw count matrices to 10,000 counts per cell and apply log1p transformation </w:t>
      </w:r>
      <w:r>
        <w:rPr>
          <w:rFonts w:ascii="Arial" w:hAnsi="Arial"/>
          <w:b w:val="0"/>
          <w:i w:val="0"/>
          <w:color w:val="000000"/>
          <w:sz w:val="22"/>
          <w:vertAlign w:val="superscript"/>
        </w:rPr>
        <w:t>43</w:t>
      </w:r>
      <w:r>
        <w:rPr>
          <w:rFonts w:ascii="Arial" w:hAnsi="Arial"/>
          <w:b w:val="0"/>
          <w:i w:val="0"/>
          <w:color w:val="000000"/>
          <w:sz w:val="22"/>
        </w:rPr>
        <w:t xml:space="preserve">. Pseudobulk vectors average expression across cells sharing the same cell-type annotation (at least 20 cells per entry (pseudobulk group); at least one donor/mouse contributing at least 10 cells). Housekeeping (HK) genes are loaded from the HRT Atlas v1.0 reference </w:t>
      </w:r>
      <w:r>
        <w:rPr>
          <w:rFonts w:ascii="Arial" w:hAnsi="Arial"/>
          <w:b w:val="0"/>
          <w:i w:val="0"/>
          <w:color w:val="000000"/>
          <w:sz w:val="22"/>
          <w:vertAlign w:val="superscript"/>
        </w:rPr>
        <w:t>13</w:t>
      </w:r>
      <w:r>
        <w:rPr>
          <w:rFonts w:ascii="Arial" w:hAnsi="Arial"/>
          <w:b w:val="0"/>
          <w:i w:val="0"/>
          <w:color w:val="000000"/>
          <w:sz w:val="22"/>
        </w:rPr>
        <w:t xml:space="preserve"> (1,130 human-mouse conserved HK genes; mouse ortholog column for mouse datasets, human column for Tabula Sapiens, TCGA, and the brain atlas). The package also supports data-driven auto-detection (detect_housekeeping_genes(); combined detection-rate and CV criterion, use_reference = False), but all reported analyses use the pre-specified reference.</w:t>
      </w:r>
    </w:p>
    <w:p>
      <w:pPr>
        <w:spacing w:line="276" w:lineRule="auto" w:after="80"/>
        <w:ind w:firstLine="0"/>
      </w:pPr>
      <w:r>
        <w:rPr>
          <w:rFonts w:ascii="Arial" w:hAnsi="Arial"/>
          <w:b w:val="0"/>
          <w:i w:val="0"/>
          <w:color w:val="000000"/>
          <w:sz w:val="22"/>
        </w:rPr>
        <w:t xml:space="preserve">For populations A and B with pseudobulk vectors ε_A and ε_B, each vector is normalized to a probability distribution before Jensen-Shannon (JS) divergence computation by a softmax over log-transformed values, which in count space is exactly the operation of adding a +1 pseudo-count followed by L1 normalization: p_i = (c_i + 1)/Σ_j(c_j + 1), where c denotes the pseudobulk count. The aggregation order differs across datasets and must be distinguished: the brain pipeline applies log1p after averaging counts, softmax(log1p(mean counts)), matching the count-space formula exactly, whereas the mouse (Tabula Muris pilot) and human (Tabula Sapiens) pipelines average per-cell log1p values and normalize afterwards, softmax(mean(log1p)). This difference plausibly contributes, alongside dataset scale and gene-selection effects, to the non-transferability of the dataset-specific calibration constants (Results). Then k_n = JS(norm(ε_A[H]), norm(ε_B[H])), where H is the set of HK gene indices; k_f = JS(norm(ε_A[I]), norm(ε_B[I])), where I is the set of top-2,000 highly variable genes (HVGs; Seurat flavor) excluding HK genes; ω = k_f/k_n, with JS divergence </w:t>
      </w:r>
      <w:r>
        <w:rPr>
          <w:rFonts w:ascii="Arial" w:hAnsi="Arial"/>
          <w:b w:val="0"/>
          <w:i w:val="0"/>
          <w:color w:val="000000"/>
          <w:sz w:val="22"/>
          <w:vertAlign w:val="superscript"/>
        </w:rPr>
        <w:t>44</w:t>
      </w:r>
      <w:r>
        <w:rPr>
          <w:rFonts w:ascii="Arial" w:hAnsi="Arial"/>
          <w:b w:val="0"/>
          <w:i w:val="0"/>
          <w:color w:val="000000"/>
          <w:sz w:val="22"/>
        </w:rPr>
        <w:t xml:space="preserve"> using the base-2 logarithm (range [0, 1]). To guard against division by near-zero k_n, the package exposes an optional denominator floor (kn_floor); the package default (kn_floor = 0) applies only a positivity guard, used by all reported single-cell analyses, so no reported single-cell ω was capped (minimum observed per-pair k_n: 1.1 × 10⁻⁴, mouse; 6.3 × 10⁻⁴, human; 9.2 × 10⁻⁵, brain; only 1 of 31,764 pairs had k_n below 1 × 10⁻⁴, and these values entered ω uncapped). The TCGA bulk analysis is the sole exception and applies kn_floor = 1 × 10⁻⁴, because pseudobulk averaging across millions of cells compresses HK gene variance and drives aggregate k_n toward zero (see Results). One property of this mapping must be made explicit for TCGA: applied to log2(TPM + 1) values, the softmax is mathematically equivalent to p_i ∝ (TPM + 1)^{1/ln 2}—an implicit power transformation of the counts that was not disclosed in earlier versions of this pipeline. We therefore recomputed every TCGA analysis with the linear normalization p_i = (TPM + 1)/Σ_j(TPM_j + 1): all qualitative conclusions were unchanged (the NN &gt; TT ω reversal preserved in 5 of 5 cancer types; kn_floor saturation 0; all severity-gradient directions preserved), with full side-by-side results in the Supplementary Information.</w:t>
      </w:r>
    </w:p>
    <w:p>
      <w:pPr>
        <w:spacing w:line="276" w:lineRule="auto" w:after="80"/>
        <w:ind w:firstLine="0"/>
      </w:pPr>
      <w:r>
        <w:rPr>
          <w:rFonts w:ascii="Arial" w:hAnsi="Arial"/>
          <w:b w:val="0"/>
          <w:i w:val="0"/>
          <w:color w:val="000000"/>
          <w:sz w:val="22"/>
        </w:rPr>
        <w:t>A note on package parity: all hybrid-scheme analyses reported in this paper (mouse pilot, Tabula Sapiens, TCGA, brain atlas) select the k_f genes of each pair as the top-200 genes ranked by the absolute pseudobulk difference. The released package’s func_method = "pairwise_de" option instead runs a two-directional Wilcoxon test and yields a different gene set; the reported abs-diff scheme is provided exactly as func_method = "pairwise_absdiff" in package version 0.5.0. All ω values reported here were computed with the abs-diff scheme. The package’s permutation test (bootstrap_test()) reproduces the reported null by default: reselect_identity = True holds the HK set fixed while re-selecting the k_f set at every permutation under the same per-pair rule as the observed value; the legacy fixed-gene-set null remains available as reselect_identity = False and is anti-conservative relative to re-selection (cf. the TCGA fixed-panel caveat).</w:t>
      </w:r>
    </w:p>
    <w:p>
      <w:pPr>
        <w:pStyle w:val="Heading2"/>
        <w:spacing w:before="420" w:after="160"/>
      </w:pPr>
      <w:r>
        <w:rPr>
          <w:rFonts w:ascii="Arial" w:hAnsi="Arial"/>
          <w:color w:val="000000"/>
          <w:sz w:val="24"/>
          <w:b/>
        </w:rPr>
        <w:t>Dimensionality invariance of JS divergence</w:t>
      </w:r>
    </w:p>
    <w:p>
      <w:pPr>
        <w:spacing w:line="276" w:lineRule="auto" w:after="80"/>
        <w:ind w:firstLine="0"/>
      </w:pPr>
      <w:r>
        <w:rPr>
          <w:rFonts w:ascii="Arial" w:hAnsi="Arial"/>
          <w:b w:val="0"/>
          <w:i w:val="0"/>
          <w:color w:val="000000"/>
          <w:sz w:val="22"/>
        </w:rPr>
        <w:t>Because k_n is computed on ~1,130 HK genes and k_f on 200–2,000 HVG genes, we verified that JS divergence is not systematically biased by gene set dimensionality. A simulation of 2,000 random Dirichlet distribution pairs across dimensions 50–5,000 showed mean JS divergence effectively constant (0.155–0.159, ratio = 1.001 between d = 1,130 and d = 2,000; Supplementary Fig. 13). The systematic inflation of k_f relative to k_n (ω = 7.70 for equivalent populations) therefore arises from HVG selection bias rather than dimensional mismatch; the calibrated omega (ω_cal = ω / 7.70) absorbs this bias into the empirical baseline, and the permutation null—constructed using the same gene sets—ensures internal consistency.</w:t>
      </w:r>
    </w:p>
    <w:p>
      <w:pPr>
        <w:pStyle w:val="Heading2"/>
        <w:spacing w:before="420" w:after="160"/>
      </w:pPr>
      <w:r>
        <w:rPr>
          <w:rFonts w:ascii="Arial" w:hAnsi="Arial"/>
          <w:color w:val="000000"/>
          <w:sz w:val="24"/>
          <w:b/>
        </w:rPr>
        <w:t>Permutation test</w:t>
      </w:r>
    </w:p>
    <w:p>
      <w:pPr>
        <w:spacing w:line="276" w:lineRule="auto" w:after="80"/>
        <w:ind w:firstLine="0"/>
      </w:pPr>
      <w:r>
        <w:rPr>
          <w:rFonts w:ascii="Arial" w:hAnsi="Arial"/>
          <w:b w:val="0"/>
          <w:i w:val="0"/>
          <w:color w:val="000000"/>
          <w:sz w:val="22"/>
        </w:rPr>
        <w:t xml:space="preserve">Statistical significance was assessed with permutation tests whose exchangeability unit and gene-selection handling follow the structure of each dataset. For the mouse pilot, Tabula Sapiens, and TCGA per-cancer analyses, labels were permuted between groups (cell labels, or tumor/normal labels across bulk samples; B = 1,000); pseudobulks were recomputed after each permutation and ω recalculated under the same per-pair gene-selection procedure as the observed value, so the null incorporates the gene-selection step. The TCGA per-cancer permutation test additionally holds the identity gene set fixed across permutations (a global HVG panel selected once on the observed grouping); because this fixed-panel null can only deflate the null k_f relative to re-selection, it is anti-conservative, and the corresponding TCGA P-values (all P &gt; 0.9) should be read with this caveat. For the brain atlas, the authoritative null is the block-shuffle permutation described under “Multiplicative residual model” (10x libraries permuted across regions, per-pair genes re-selected at every permutation; B = 1,000). Empirical P-values use the one-sided upper-tail formula P = (count(ω_null ≥ ω_obs) + 1)/(B + 1), where the +1 pseudocount avoids P = 0; the brain per-pair screen instead uses the one-sided lower-tail formula (anomalously low ω), with the upper tail reported as a complementary summary. The one-sided default is appropriate because our hypothesis is directional: we test whether observed ω exceeds the null expectation, not whether it differs in either direction. Standardized effect size (SES = (ω_obs − mean(ω_null)) / sd(ω_null)) is reported as a non-parametric descriptive statistic complementing the permutation P-value, not a parametric test statistic such as Cohen’s d. Benjamini-Hochberg (BH) FDR correction </w:t>
      </w:r>
      <w:r>
        <w:rPr>
          <w:rFonts w:ascii="Arial" w:hAnsi="Arial"/>
          <w:b w:val="0"/>
          <w:i w:val="0"/>
          <w:color w:val="000000"/>
          <w:sz w:val="22"/>
          <w:vertAlign w:val="superscript"/>
        </w:rPr>
        <w:t>45</w:t>
      </w:r>
      <w:r>
        <w:rPr>
          <w:rFonts w:ascii="Arial" w:hAnsi="Arial"/>
          <w:b w:val="0"/>
          <w:i w:val="0"/>
          <w:color w:val="000000"/>
          <w:sz w:val="22"/>
        </w:rPr>
        <w:t xml:space="preserve"> is applied within each dataset; larger-scale analyses are supplemented with non-parametric tests and descriptive statistics.</w:t>
      </w:r>
    </w:p>
    <w:p>
      <w:pPr>
        <w:pStyle w:val="Heading2"/>
        <w:spacing w:before="420" w:after="160"/>
      </w:pPr>
      <w:r>
        <w:rPr>
          <w:rFonts w:ascii="Arial" w:hAnsi="Arial"/>
          <w:color w:val="000000"/>
          <w:sz w:val="24"/>
          <w:b/>
        </w:rPr>
        <w:t>Datasets</w:t>
      </w:r>
    </w:p>
    <w:p>
      <w:pPr>
        <w:spacing w:line="276" w:lineRule="auto" w:after="80"/>
        <w:ind w:firstLine="0"/>
      </w:pPr>
      <w:r>
        <w:rPr>
          <w:rFonts w:ascii="Arial" w:hAnsi="Arial"/>
          <w:b w:val="0"/>
          <w:i w:val="0"/>
          <w:color w:val="000000"/>
          <w:sz w:val="22"/>
        </w:rPr>
        <w:t xml:space="preserve">Tabula Muris FACS SmartSeq2 </w:t>
      </w:r>
      <w:r>
        <w:rPr>
          <w:rFonts w:ascii="Arial" w:hAnsi="Arial"/>
          <w:b w:val="0"/>
          <w:i w:val="0"/>
          <w:color w:val="000000"/>
          <w:sz w:val="22"/>
          <w:vertAlign w:val="superscript"/>
        </w:rPr>
        <w:t>8</w:t>
      </w:r>
      <w:r>
        <w:rPr>
          <w:rFonts w:ascii="Arial" w:hAnsi="Arial"/>
          <w:b w:val="0"/>
          <w:i w:val="0"/>
          <w:color w:val="000000"/>
          <w:sz w:val="22"/>
        </w:rPr>
        <w:t xml:space="preserve">: 15,057 cells, 22,308 genes, 6 organs (liver, kidney, spleen, lung, heart, bone marrow). Post-quality-control (QC): 38 cell-type entries (each with at least 20 cells and at least one mouse contributing at least 10 cells), yielding C(38, 2) = 703 analyzed pairs. Highly variable genes selected using scanpy </w:t>
      </w:r>
      <w:r>
        <w:rPr>
          <w:rFonts w:ascii="Arial" w:hAnsi="Arial"/>
          <w:b w:val="0"/>
          <w:i w:val="0"/>
          <w:color w:val="000000"/>
          <w:sz w:val="22"/>
          <w:vertAlign w:val="superscript"/>
        </w:rPr>
        <w:t>46</w:t>
      </w:r>
      <w:r>
        <w:rPr>
          <w:rFonts w:ascii="Arial" w:hAnsi="Arial"/>
          <w:b w:val="0"/>
          <w:i w:val="0"/>
          <w:color w:val="000000"/>
          <w:sz w:val="22"/>
        </w:rPr>
        <w:t xml:space="preserve"> with flavor="seurat" </w:t>
      </w:r>
      <w:r>
        <w:rPr>
          <w:rFonts w:ascii="Arial" w:hAnsi="Arial"/>
          <w:b w:val="0"/>
          <w:i w:val="0"/>
          <w:color w:val="000000"/>
          <w:sz w:val="22"/>
          <w:vertAlign w:val="superscript"/>
        </w:rPr>
        <w:t>47,48</w:t>
      </w:r>
      <w:r>
        <w:rPr>
          <w:rFonts w:ascii="Arial" w:hAnsi="Arial"/>
          <w:b w:val="0"/>
          <w:i w:val="0"/>
          <w:color w:val="000000"/>
          <w:sz w:val="22"/>
        </w:rPr>
        <w:t xml:space="preserve"> and n_top_genes=2,000.</w:t>
      </w:r>
    </w:p>
    <w:p>
      <w:pPr>
        <w:spacing w:line="276" w:lineRule="auto" w:after="80"/>
        <w:ind w:firstLine="0"/>
      </w:pPr>
      <w:r>
        <w:rPr>
          <w:rFonts w:ascii="Arial" w:hAnsi="Arial"/>
          <w:b w:val="0"/>
          <w:i w:val="0"/>
          <w:color w:val="000000"/>
          <w:sz w:val="22"/>
        </w:rPr>
        <w:t xml:space="preserve">Tabula Sapiens v1.0 </w:t>
      </w:r>
      <w:r>
        <w:rPr>
          <w:rFonts w:ascii="Arial" w:hAnsi="Arial"/>
          <w:b w:val="0"/>
          <w:i w:val="0"/>
          <w:color w:val="000000"/>
          <w:sz w:val="22"/>
          <w:vertAlign w:val="superscript"/>
        </w:rPr>
        <w:t>9</w:t>
      </w:r>
      <w:r>
        <w:rPr>
          <w:rFonts w:ascii="Arial" w:hAnsi="Arial"/>
          <w:b w:val="0"/>
          <w:i w:val="0"/>
          <w:color w:val="000000"/>
          <w:sz w:val="22"/>
        </w:rPr>
        <w:t>: accessed via CZ CELLxGENE Discover. Post-QC: 108,136 cells (6 h5ad files total), 51,852 genes, 102 cell-type entries across 6 organs. Of these, 99 entries passed the pairwise-analysis filters (at least 20 cells per entry and at least one donor with at least 10 cells; "unknown" annotations excluded), yielding C(99, 2) = 4,851 analyzed pairs. HK genes: HRT Atlas v1.0 reference (1,130 genes; human column).</w:t>
      </w:r>
    </w:p>
    <w:p>
      <w:pPr>
        <w:spacing w:line="276" w:lineRule="auto" w:after="80"/>
        <w:ind w:firstLine="0"/>
      </w:pPr>
      <w:r>
        <w:rPr>
          <w:rFonts w:ascii="Arial" w:hAnsi="Arial"/>
          <w:b w:val="0"/>
          <w:i w:val="0"/>
          <w:color w:val="000000"/>
          <w:sz w:val="22"/>
        </w:rPr>
        <w:t xml:space="preserve">TCGA bulk RNA-seq </w:t>
      </w:r>
      <w:r>
        <w:rPr>
          <w:rFonts w:ascii="Arial" w:hAnsi="Arial"/>
          <w:b w:val="0"/>
          <w:i w:val="0"/>
          <w:color w:val="000000"/>
          <w:sz w:val="22"/>
          <w:vertAlign w:val="superscript"/>
        </w:rPr>
        <w:t>49</w:t>
      </w:r>
      <w:r>
        <w:rPr>
          <w:rFonts w:ascii="Arial" w:hAnsi="Arial"/>
          <w:b w:val="0"/>
          <w:i w:val="0"/>
          <w:color w:val="000000"/>
          <w:sz w:val="22"/>
        </w:rPr>
        <w:t xml:space="preserve">: five cancer types from NCI Genomic Data Commons, accessed via TCGAbiolinks </w:t>
      </w:r>
      <w:r>
        <w:rPr>
          <w:rFonts w:ascii="Arial" w:hAnsi="Arial"/>
          <w:b w:val="0"/>
          <w:i w:val="0"/>
          <w:color w:val="000000"/>
          <w:sz w:val="22"/>
          <w:vertAlign w:val="superscript"/>
        </w:rPr>
        <w:t>50</w:t>
      </w:r>
      <w:r>
        <w:rPr>
          <w:rFonts w:ascii="Arial" w:hAnsi="Arial"/>
          <w:b w:val="0"/>
          <w:i w:val="0"/>
          <w:color w:val="000000"/>
          <w:sz w:val="22"/>
        </w:rPr>
        <w:t xml:space="preserve"> and cBioPortal </w:t>
      </w:r>
      <w:r>
        <w:rPr>
          <w:rFonts w:ascii="Arial" w:hAnsi="Arial"/>
          <w:b w:val="0"/>
          <w:i w:val="0"/>
          <w:color w:val="000000"/>
          <w:sz w:val="22"/>
          <w:vertAlign w:val="superscript"/>
        </w:rPr>
        <w:t>51</w:t>
      </w:r>
      <w:r>
        <w:rPr>
          <w:rFonts w:ascii="Arial" w:hAnsi="Arial"/>
          <w:b w:val="0"/>
          <w:i w:val="0"/>
          <w:color w:val="000000"/>
          <w:sz w:val="22"/>
        </w:rPr>
        <w:t xml:space="preserve"> APIs. LUAD: 495 tumor + 76 normal; LUSC: 567 tumor + 58 normal; LIHC: 365 tumor + 57 normal; KIRC: 755 tumor + 82 normal; BRCA: 1032 tumor + 109 normal. TPM values from UCSC Xena; within each cancer type, genes with mean expression below 0.5 TPM were removed, and the retained values were log2(TPM + 1) transformed. BRCA PAM50 subtype assignments </w:t>
      </w:r>
      <w:r>
        <w:rPr>
          <w:rFonts w:ascii="Arial" w:hAnsi="Arial"/>
          <w:b w:val="0"/>
          <w:i w:val="0"/>
          <w:color w:val="000000"/>
          <w:sz w:val="22"/>
          <w:vertAlign w:val="superscript"/>
        </w:rPr>
        <w:t>16,17</w:t>
      </w:r>
      <w:r>
        <w:rPr>
          <w:rFonts w:ascii="Arial" w:hAnsi="Arial"/>
          <w:b w:val="0"/>
          <w:i w:val="0"/>
          <w:color w:val="000000"/>
          <w:sz w:val="22"/>
        </w:rPr>
        <w:t xml:space="preserve"> were retrieved from cBioPortal (brca_tcga_pub study, PAM50_SUBTYPE clinical attribute; 522 samples with subtype calls). LIHC Edmondson grade </w:t>
      </w:r>
      <w:r>
        <w:rPr>
          <w:rFonts w:ascii="Arial" w:hAnsi="Arial"/>
          <w:b w:val="0"/>
          <w:i w:val="0"/>
          <w:color w:val="000000"/>
          <w:sz w:val="22"/>
          <w:vertAlign w:val="superscript"/>
        </w:rPr>
        <w:t>15</w:t>
      </w:r>
      <w:r>
        <w:rPr>
          <w:rFonts w:ascii="Arial" w:hAnsi="Arial"/>
          <w:b w:val="0"/>
          <w:i w:val="0"/>
          <w:color w:val="000000"/>
          <w:sz w:val="22"/>
        </w:rPr>
        <w:t>: from cBioPortal, 288 tumors. LUAD mutations: from cBioPortal, 492 samples (61 EGFR, 120 KRAS, 311 WT).</w:t>
      </w:r>
    </w:p>
    <w:p>
      <w:pPr>
        <w:spacing w:line="276" w:lineRule="auto" w:after="80"/>
        <w:ind w:firstLine="0"/>
      </w:pPr>
      <w:r>
        <w:rPr>
          <w:rFonts w:ascii="Arial" w:hAnsi="Arial"/>
          <w:b w:val="0"/>
          <w:i w:val="0"/>
          <w:color w:val="000000"/>
          <w:sz w:val="22"/>
        </w:rPr>
        <w:t xml:space="preserve">Human brain atlas </w:t>
      </w:r>
      <w:r>
        <w:rPr>
          <w:rFonts w:ascii="Arial" w:hAnsi="Arial"/>
          <w:b w:val="0"/>
          <w:i w:val="0"/>
          <w:color w:val="000000"/>
          <w:sz w:val="22"/>
          <w:vertAlign w:val="superscript"/>
        </w:rPr>
        <w:t>12</w:t>
      </w:r>
      <w:r>
        <w:rPr>
          <w:rFonts w:ascii="Arial" w:hAnsi="Arial"/>
          <w:b w:val="0"/>
          <w:i w:val="0"/>
          <w:color w:val="000000"/>
          <w:sz w:val="22"/>
        </w:rPr>
        <w:t>: Siletti et al. (2023) single-nucleus RNA-seq (v3.11) from CZ CELLxGENE Discover (collection ID: 283d65eb-dd53-496d-adb7-7570c7caa443). We used the Nonneurons.h5ad dataset (888,263 nuclei, 59,480 genes, 108 brain regions), classified by supercluster_term annotation into 10 major non-neuronal classes; after filtering (≥ 20 nuclei per (region, cell_type) group, ≥ 50 per region), 886,808 nuclei contributed to the analysis (astrocytes 155,025; oligodendrocytes 490,246; oligodendrocyte precursors 105,723; committed oligodendrocyte precursors 4,118; microglia 91,826; vascular cells 9,586; fibroblasts 8,897; ependymal cells 5,779; choroid plexus 7,643; Bergmann glia 7,965). Pseudobulks were computed as cell-count-weighted means of per-library (10x sample) mean expression vectors per group, then normalized (Scanpy normalize_total, target_sum = 10,000) followed by log1p at the pseudobulk level. CKI ω was computed for all same-cell-type cross-region comparisons (31,764 pairs) with the hybrid scheme; HK genes came from the HRT Atlas v1.0 reference (1,115 genes matched to the Siletti annotation). For computational efficiency, per-pair identity-gene selection was restricted to a pre-filtered pool of the 5,000 non-HK genes with the highest mean expression, within which the top-200 genes with the largest absolute pseudobulk difference were selected per comparison (HK genes excluded).</w:t>
      </w:r>
    </w:p>
    <w:p>
      <w:pPr>
        <w:pStyle w:val="Heading2"/>
        <w:spacing w:before="420" w:after="160"/>
      </w:pPr>
      <w:r>
        <w:rPr>
          <w:rFonts w:ascii="Arial" w:hAnsi="Arial"/>
          <w:color w:val="000000"/>
          <w:sz w:val="24"/>
          <w:b/>
        </w:rPr>
        <w:t>Method comparison</w:t>
      </w:r>
    </w:p>
    <w:p>
      <w:pPr>
        <w:spacing w:line="276" w:lineRule="auto" w:after="80"/>
        <w:ind w:firstLine="0"/>
      </w:pPr>
      <w:r>
        <w:rPr>
          <w:rFonts w:ascii="Arial" w:hAnsi="Arial"/>
          <w:b w:val="0"/>
          <w:i w:val="0"/>
          <w:color w:val="000000"/>
          <w:sz w:val="22"/>
        </w:rPr>
        <w:t>We computed five metrics on all 4,851 Tabula Sapiens cell-type pairs: CKI ω (hybrid scheme), raw JS divergence (all genes), Spearman distance (1 - ρ), cosine distance (1 - cos θ), and marker Jaccard distance (1 - Jaccard index of top-200 expressed genes). To avoid donor-pair proliferation, one pseudobulk was computed per cell-type entry from its largest donor (the donor with the most QC-passing cells); the method comparison therefore does not capture inter-donor variability. Inter-metric Spearman correlations and cell-type classification ROC-AUC were computed using scikit-learn.</w:t>
      </w:r>
    </w:p>
    <w:p>
      <w:pPr>
        <w:pStyle w:val="Heading2"/>
        <w:spacing w:before="420" w:after="160"/>
      </w:pPr>
      <w:r>
        <w:rPr>
          <w:rFonts w:ascii="Arial" w:hAnsi="Arial"/>
          <w:color w:val="000000"/>
          <w:sz w:val="24"/>
          <w:b/>
        </w:rPr>
        <w:t>Multiplicative residual model for brain regional analysis</w:t>
      </w:r>
    </w:p>
    <w:p>
      <w:pPr>
        <w:spacing w:line="276" w:lineRule="auto" w:after="80"/>
        <w:ind w:firstLine="0"/>
      </w:pPr>
      <w:r>
        <w:rPr>
          <w:rFonts w:ascii="Arial" w:hAnsi="Arial"/>
          <w:b w:val="0"/>
          <w:i w:val="0"/>
          <w:color w:val="000000"/>
          <w:sz w:val="22"/>
        </w:rPr>
        <w:t>For the brain regional analysis, we designed a multiplicative model to detect (cell_type, region_pair) combinations with anomalously low ω: expected_ω = μ_ct × μ_pair / μ_grand, where μ_ct is the cell type’s global mean ω, μ_pair the region pair’s mean ω, and μ_grand the global mean over all 31,764 pairs (38.55); the multiplicative residual = observed / expected, and a residual well below 1 indicates the cell type is far less differentiated between those regions than expected from its global plasticity and the pair’s overall divergence. Three confidence tiers were defined: Strong (residual &lt; 0.3, ω &lt; 15, lowest ω in the region pair), Moderate (residual &lt; 0.5, ω &lt; 25), and Weak (residual &lt; 0.75, ω &lt; 35). Statistical significance was assessed with a block-shuffle permutation null that preserves the joint cell-type × region design: 10x Chromium libraries (sample_id) were treated as blocks and the sample-to-region assignment randomly permuted across libraries (preserving per-region library counts), after which region pseudobulks, all 31,764 pair ω values, and residuals were recomputed; because each library’s cells move together, this null retains library-level structure while breaking the cell–region association and is markedly more conservative than per-cell label shuffling. B = 1,000 permutations were run (minimum resolvable P = 1/1,001 ≈ 9.99 × 10⁻⁴). Per-pair empirical P-values used the one-sided lower-tail formula P = (count(ω_null ≤ ω_obs) + 1)/(B + 1), appropriate because candidates are defined by anomalously low ω; the complementary upper-tail P-value was computed for every pair and both tails are reported. Benjamini-Hochberg FDR correction was applied across all m = 31,764 pairs. No pair reached q &lt; 0.05 (minimum q = 0.520); at this multiplicity q &lt; 0.05 would require B ≈ 6 × 10⁵ permutations or ~635 P-values at the permutation floor (see Statistics and reproducibility), so this outcome reflects permutation resolution rather than evidence against the candidates. The 31 Strong-tier pairs with raw P &lt; 0.05 are reported as hypothesis-generating signals, prioritized for future lineage-tracing validation, with interpretation restricted to the predefined Strong tier rather than the full 31,764 search space. A cell-type-level test additionally asked whether regional structure significantly raises a cell type’s mean ω relative to the same null (one-sided upper-tail P across B = 1,000 permutations). As a negative control for null calibration, the same test was re-run on pseudo-regions obtained by splitting each region’s libraries uniformly at random into two halves (seed fixed; 127,756 pseudo-pairs across the ten classes; Supplementary Note 12).</w:t>
      </w:r>
    </w:p>
    <w:p>
      <w:pPr>
        <w:pStyle w:val="Heading2"/>
        <w:spacing w:before="420" w:after="160"/>
      </w:pPr>
      <w:r>
        <w:rPr>
          <w:rFonts w:ascii="Arial" w:hAnsi="Arial"/>
          <w:color w:val="000000"/>
          <w:sz w:val="24"/>
          <w:b/>
        </w:rPr>
        <w:t>Robustness and calibration analyses</w:t>
      </w:r>
    </w:p>
    <w:p>
      <w:pPr>
        <w:spacing w:line="276" w:lineRule="auto" w:after="80"/>
        <w:ind w:firstLine="0"/>
      </w:pPr>
      <w:r>
        <w:rPr>
          <w:rFonts w:ascii="Arial" w:hAnsi="Arial"/>
          <w:b w:val="0"/>
          <w:i w:val="0"/>
          <w:color w:val="000000"/>
          <w:sz w:val="22"/>
        </w:rPr>
        <w:t>Donor confounding and within-donor gradient (brain). The brain atlas contains nuclei from four donors, and 94.5% of region pairs share at least one donor (median top-donor share within a region: 0.61). To test whether the pooled class-level gradient reflects donor identity rather than regional biology, we recomputed cross-region ω using only same-donor (donor, region) pseudobulk pairs: every pair of regions with at least 20 nuclei from the same donor contributed one comparison, and class means were aggregated over all such pairs (astrocytes: 11,139 pairs from 261 donor-region blocks; Bergmann glia: 10 pairs). k_n estimator sensitivity (brain). For all 31,764 pairs we compared four aggregation schemes: per-pair k_n (the reported estimator), an aggregate-first estimator (k_n computed once per cell type from class-level region pseudobulks), a global-k_n variant (a single grand-mean k_n shared by all classes), and k_f-only and k_n-only orderings; agreement was summarized as Spearman rank correlation of the ten class means. Scheme-matched split-half calibration. To test whether the mouse-derived calibration factor transfers, we repeated the random-split-of-the-same-population calibration inside each large single-cell dataset using exactly the gene-selection and pseudobulk pipeline of the corresponding analysis. Brain: for each cell class, the three regions with at least 200 nuclei were split into random halves (B = 50 splits per population; 29 populations), and 95% bootstrap CIs were obtained by resampling the 29 population means (the between-population bootstrap carries the variance relevant to the baseline, so the smaller per-population split count does not inflate the reported CIs relative to the B = 1,000 used in the main inference). Tabula Sapiens: for each (organ, cell type) group from the largest donor with at least 100 cells passing QC (71 populations across six organs), cells were randomly split into halves (B = 50) and ω computed with the same per-pair hybrid pipeline as the main Tabula Sapiens analysis. Lineage enrichment and tier sensitivity (brain). Enrichment of oligodendrocyte-lineage classes among Strong candidates was tested with a hypergeometric test over the 31,764 pairs (12,775 belonging to the lineage), corroborated by permutation (B = 100,000); tier-threshold sensitivity was assessed by recomputing the Strong set and lineage enrichment over a grid of residual caps (0.2–0.4) and ω caps (12–25). Class-size confounding and threshold sensitivity (brain). Class-mean k_n and ω were tested against log10(class nuclei count) and mean detection depth (Spearman and Pearson correlations); an equal-n control downsampled every class to 4,118 nuclei (the smallest class; 20 replicates) and recomputed class rankings and the endpoint gradient; and the full landscape was recomputed at group-size thresholds of 10, 50, and 100 nuclei in addition to the reported 20 (script notebooks/86_brain_downsample_threshold_v44.py).</w:t>
      </w:r>
    </w:p>
    <w:p>
      <w:pPr>
        <w:spacing w:line="276" w:lineRule="auto" w:after="80"/>
        <w:ind w:firstLine="0"/>
      </w:pPr>
      <w:r>
        <w:rPr>
          <w:rFonts w:ascii="Arial" w:hAnsi="Arial"/>
          <w:b w:val="0"/>
          <w:i w:val="0"/>
          <w:color w:val="000000"/>
          <w:sz w:val="22"/>
        </w:rPr>
        <w:t>Donor-stratified null (brain). To ask whether the class-level significance of the pooled block-shuffle null survives when library-to-region assignments cannot cross donor boundaries, we re-ran the permutation test with a donor-stratified shuffle: within each cell class, the sample_id-to-region assignment was permuted only among libraries belonging to the same donor (B = 1,000; identical gene set, pseudobulks, and ω pipeline as the free shuffle). This scheme preserves each donor's library counts and the per-region block-size structure within donors while breaking the library-to-region association; libraries from donors contributing a single library to the class (non-shufflable blocks; e.g., 8 of 606 astrocyte libraries) were held fixed, and permutations returning the identity assignment were retained as valid draws. Class-level significance used the same one-sided upper-tail statistic, P = (count(mean ω_null ≥ mean ω_obs) + 1)/(B + 1). The accompanying free-null P-values come from an independent Monte-Carlo re-run within the same script (same B and pipeline), so small differences from the primary analysis (ependymal cells P = 0.058 here versus 0.075; committed oligodendrocyte precursor cells (OPCs) P = 0.004 versus 0.005) reflect Monte-Carlo variability; the donor-stratified null is strictly the more conservative test.</w:t>
      </w:r>
    </w:p>
    <w:p>
      <w:pPr>
        <w:pStyle w:val="Heading2"/>
        <w:spacing w:before="420" w:after="160"/>
      </w:pPr>
      <w:r>
        <w:rPr>
          <w:rFonts w:ascii="Arial" w:hAnsi="Arial"/>
          <w:color w:val="000000"/>
          <w:sz w:val="24"/>
          <w:b/>
        </w:rPr>
        <w:t>Ground-truth simulation</w:t>
      </w:r>
    </w:p>
    <w:p>
      <w:pPr>
        <w:spacing w:line="276" w:lineRule="auto" w:after="80"/>
        <w:ind w:firstLine="0"/>
      </w:pPr>
      <w:r>
        <w:rPr>
          <w:rFonts w:ascii="Arial" w:hAnsi="Arial"/>
          <w:b w:val="0"/>
          <w:i w:val="0"/>
          <w:color w:val="000000"/>
          <w:sz w:val="22"/>
        </w:rPr>
        <w:t>To measure specificity and sensitivity against a known ground truth, we injected perturbations of known magnitude into a real single-cell background: Tabula Muris FACS marrow B cells (1,848 cells). Each replicate resampled two independent groups of 200 cells (gene set: 1,064 matched HK genes plus the 5,000 non-HK genes with the highest global means, mirroring the brain pipeline). A functional signal was injected as a multiplicative shift of 2^δ (δ = 0.125–2) on a fixed module of 200 non-HK genes in group B; neutral perturbations were injected separately as a 2^η shift (η = 0.25–1) on HK genes in group A (neutral drift that should not count as functional divergence) or Poisson noise across all genes in group A (ε = 0.3–1, technical batch noise). Six metrics were computed per replicate with the identical code path as the brain analysis (ω, k_f, k_n, raw JS divergence over the full kept gene set, cosine distance, k_f/k_total). Signal scenarios were repeated with three independent random module draws (seeds 42, 137, 2024); detection thresholds were calibrated per metric as the 95th percentile of 200 baseline replicates, so type-I error and power refer to a common nominal level (the 95th-percentile threshold estimate itself carries Monte Carlo noise of roughly ±1.5 percentage points at 200 baseline replicates, small relative to the between-metric gaps reported). Robustness scenarios (30% dropout, twofold depth difference, fourfold cell-count imbalance) and module-size sensitivity (m = 50, 200, 500) were run at δ = 0.25 and δ = 1. The entire design was repeated in a second background within the same Tabula Muris FACS platform—skin keratinocyte stem cells (1,371 cells)—with identical grids, module seeds, group sizes, and code path (1,750 replicates per background across the full grid). Full results: Supplementary Note 1 and the results/groundtruth_simulation_*.csv files of the companion repository.</w:t>
      </w:r>
    </w:p>
    <w:p>
      <w:pPr>
        <w:pStyle w:val="Heading2"/>
        <w:spacing w:before="420" w:after="160"/>
      </w:pPr>
      <w:r>
        <w:rPr>
          <w:rFonts w:ascii="Arial" w:hAnsi="Arial"/>
          <w:color w:val="000000"/>
          <w:sz w:val="24"/>
          <w:b/>
        </w:rPr>
        <w:t>Perturbation demonstration (IFN-β PBMC)</w:t>
      </w:r>
    </w:p>
    <w:p>
      <w:pPr>
        <w:spacing w:line="276" w:lineRule="auto" w:after="80"/>
        <w:ind w:firstLine="0"/>
      </w:pPr>
      <w:r>
        <w:rPr>
          <w:rFonts w:ascii="Arial" w:hAnsi="Arial"/>
          <w:b w:val="0"/>
          <w:i w:val="0"/>
          <w:color w:val="000000"/>
          <w:sz w:val="22"/>
        </w:rPr>
        <w:t xml:space="preserve">To test ω on a real perturbation with known ground truth, we re-analyzed the droplet arm of Kang et al. </w:t>
      </w:r>
      <w:r>
        <w:rPr>
          <w:rFonts w:ascii="Arial" w:hAnsi="Arial"/>
          <w:b w:val="0"/>
          <w:i w:val="0"/>
          <w:color w:val="000000"/>
          <w:sz w:val="22"/>
          <w:vertAlign w:val="superscript"/>
        </w:rPr>
        <w:t>14</w:t>
      </w:r>
      <w:r>
        <w:rPr>
          <w:rFonts w:ascii="Arial" w:hAnsi="Arial"/>
          <w:b w:val="0"/>
          <w:i w:val="0"/>
          <w:color w:val="000000"/>
          <w:sz w:val="22"/>
        </w:rPr>
        <w:t xml:space="preserve"> (GEO: GSE96583): peripheral blood mononuclear cells from eight donors, split into control and 6-hour IFN-β-stimulated conditions and captured in two 10x lanes, with donor assignment by genetic demultiplexing as provided by the original authors. All control cells sit in one lane and all stimulated cells in the other, so condition is fully confounded with capture lane (disclosed in Supplementary Note 6): every metric inherits the same confound, and cross-metric contrasts, not absolute detection, are the informative quantity. Singlets with annotated cell types were retained (24,413 cells across six cell types; Ensembl gene identifiers mapped to HGNC symbols). Pseudobulks were computed per (donor, condition) from raw counts, normalized to 10,000 counts, and log1p-transformed; ω, k_f, k_n, and raw JS were evaluated with the per-pair top-200 scheme for two comparison classes: stimulated-versus-control within donor (perturbation class) and donor-versus-donor within condition (donor-drift class). A split-half baseline (six random half-splits per group) anchored the calibrated scale. The significance of the perturbation effect was assessed by permuting condition labels within donor (B = 1,000; genes re-selected at every permutation, one-sided upper tail), and class separability was summarized as the exact rank AUC of each metric within each cell type. Script: notebooks/79_kang_ifnb_demo.py; outputs: results/kang_ifnb_demo_pairs.csv, results/kang_ifnb_demo_summary.json.</w:t>
      </w:r>
    </w:p>
    <w:p>
      <w:pPr>
        <w:pStyle w:val="Heading2"/>
        <w:spacing w:before="420" w:after="160"/>
      </w:pPr>
      <w:r>
        <w:rPr>
          <w:rFonts w:ascii="Arial" w:hAnsi="Arial"/>
          <w:color w:val="000000"/>
          <w:sz w:val="24"/>
          <w:b/>
        </w:rPr>
        <w:t>Neutral-drift calibration on technical replicates</w:t>
      </w:r>
    </w:p>
    <w:p>
      <w:pPr>
        <w:spacing w:line="276" w:lineRule="auto" w:after="80"/>
        <w:ind w:firstLine="0"/>
      </w:pPr>
      <w:r>
        <w:rPr>
          <w:rFonts w:ascii="Arial" w:hAnsi="Arial"/>
          <w:b w:val="0"/>
          <w:i w:val="0"/>
          <w:color w:val="000000"/>
          <w:sz w:val="22"/>
        </w:rPr>
        <w:t xml:space="preserve">To test the neutral-drift specificity property on real data with a ground truth of no functional difference, we constructed technical-replicate pairs and calibrated every metric against a per-pair size-matched (n-matched) cell-shuffle null: the nuclei of the two groups being compared are pooled, randomly permuted, and re-split into disjoint subsets of exactly the observed group sizes (n_a, n_b), so each observed pair is compared against a null distribution that matches its donor, cell type, and group sizes while containing no group structure; B = 200 permutations per pair (Kang) or 100/30/30 for brain tiers T1/T2/T3. Calibration is reported as the ratio observed / null median, and the false-positive element as observed &gt; own null 95th percentile. Kang batch 1 </w:t>
      </w:r>
      <w:r>
        <w:rPr>
          <w:rFonts w:ascii="Arial" w:hAnsi="Arial"/>
          <w:b w:val="0"/>
          <w:i w:val="0"/>
          <w:color w:val="000000"/>
          <w:sz w:val="22"/>
          <w:vertAlign w:val="superscript"/>
        </w:rPr>
        <w:t>14</w:t>
      </w:r>
      <w:r>
        <w:rPr>
          <w:rFonts w:ascii="Arial" w:hAnsi="Arial"/>
          <w:b w:val="0"/>
          <w:i w:val="0"/>
          <w:color w:val="000000"/>
          <w:sz w:val="22"/>
        </w:rPr>
        <w:t xml:space="preserve">: unstimulated PBMCs from eight donors captured across three 10x lanes (lanes A and B hold four donors each, lane C holds all eight, so every donor appears in exactly two lanes); singlets with annotated cell types and at least 50 cells in both lanes of a donor yielded 30 same-donor, same-condition cross-lane pairs across six cell types, evaluated with the per-pair top-200 scheme on k_n (HRT Atlas HK genes </w:t>
      </w:r>
      <w:r>
        <w:rPr>
          <w:rFonts w:ascii="Arial" w:hAnsi="Arial"/>
          <w:b w:val="0"/>
          <w:i w:val="0"/>
          <w:color w:val="000000"/>
          <w:sz w:val="22"/>
          <w:vertAlign w:val="superscript"/>
        </w:rPr>
        <w:t>13</w:t>
      </w:r>
      <w:r>
        <w:rPr>
          <w:rFonts w:ascii="Arial" w:hAnsi="Arial"/>
          <w:b w:val="0"/>
          <w:i w:val="0"/>
          <w:color w:val="000000"/>
          <w:sz w:val="22"/>
        </w:rPr>
        <w:t xml:space="preserve">), k_f, ω, raw JS, and cosine distance. Brain drift ladder </w:t>
      </w:r>
      <w:r>
        <w:rPr>
          <w:rFonts w:ascii="Arial" w:hAnsi="Arial"/>
          <w:b w:val="0"/>
          <w:i w:val="0"/>
          <w:color w:val="000000"/>
          <w:sz w:val="22"/>
          <w:vertAlign w:val="superscript"/>
        </w:rPr>
        <w:t>12</w:t>
      </w:r>
      <w:r>
        <w:rPr>
          <w:rFonts w:ascii="Arial" w:hAnsi="Arial"/>
          <w:b w:val="0"/>
          <w:i w:val="0"/>
          <w:color w:val="000000"/>
          <w:sz w:val="22"/>
        </w:rPr>
        <w:t>: from the 888,263 non-neuronal nuclei and 606 10x libraries, 2,732 (cell class, library) groups with at least 20 nuclei defined library-level pairs in three tiers—T1, same (donor, region) different libraries, all 2,161 pairs; T2, same region different donors, 1,089 pairs (random subsample capped at 200 per cell class); T3, same donor different regions, 1,656 pairs (same cap)—evaluated with the brain pipeline (HK genes plus top-5,000 non-HK genes by mean expression; per-pair top-200 selection) for seven metrics: k_n, k_f, ω, raw JS, cosine distance, Spearman distance (1 − ρ), and a pairwise marker Jaccard distance defined as 1 minus the Jaccard index of each group’s top-200 markers (genes ranked by pseudobulk expression minus the cell-weighted background of all other cell classes in the same reduced gene set). Random seeds: 20260918 (Kang), 42 (brain). Scripts: notebooks/nc49_pilot_kang_techrep.py, notebooks/nc49_brain_drift_ladder.py; outputs: results/nc49_pilot_kang_techrep.csv, results/nc49_brain_drift_ladder.csv, and figure notebook nc49_fig_drift_ladder.py (companion repository). Section 3.20 of the Supplementary Information reports the full audit of design, diagnostics, and per-class results.</w:t>
      </w:r>
    </w:p>
    <w:p>
      <w:pPr>
        <w:pStyle w:val="Heading2"/>
        <w:spacing w:before="420" w:after="160"/>
      </w:pPr>
      <w:r>
        <w:rPr>
          <w:rFonts w:ascii="Arial" w:hAnsi="Arial"/>
          <w:color w:val="000000"/>
          <w:sz w:val="24"/>
          <w:b/>
        </w:rPr>
        <w:t>Fixed gene-panel ablation</w:t>
      </w:r>
    </w:p>
    <w:p>
      <w:pPr>
        <w:spacing w:line="276" w:lineRule="auto" w:after="80"/>
        <w:ind w:firstLine="0"/>
      </w:pPr>
      <w:r>
        <w:rPr>
          <w:rFonts w:ascii="Arial" w:hAnsi="Arial"/>
          <w:b w:val="0"/>
          <w:i w:val="0"/>
          <w:color w:val="000000"/>
          <w:sz w:val="22"/>
        </w:rPr>
        <w:t>To test whether the brain conclusions depend on the per-pair circular selection of k_f genes (top-200 genes ranked by the absolute difference of the same two pseudobulks on which k_f is computed), we recomputed the entire observed brain landscape—all 31,764 pairs, with identical keep gene set, pseudobulks, and k_n—under three alternative gene-selection schemes: (i) a fixed panel of the 2,000 non-HK genes with the highest global mean expression (selected once, pair-independent); (ii) a leave-pair-out panel, in which the top-200 genes for a pair are selected by the mean absolute pseudobulk difference over all other region pairs of the same cell type (adaptive but not circular for the tested pair); and (iii) all 5,000 non-HK genes of the keep set. The reference implementation reproduced the reported landscape exactly (maximum per-pair |Δω| = 6.4 × 10⁻¹³). We summarized pair-level and class-level rank agreement (Spearman), the circularity inflation as the per-pair ratio of k_f under the reported scheme to k_f under each alternative, and the agreement of the multiplicative-residual ranking. A scheme-matched block-shuffle null (B = 200; minimum resolvable P ≈ 0.005) was rerun under the leave-pair-out scheme to verify that class-level significance does not depend on circular selection. Full results: Supplementary Note 7 and the results/fixed_panel_ablation_* files of the companion repository.</w:t>
      </w:r>
    </w:p>
    <w:p>
      <w:pPr>
        <w:pStyle w:val="Heading2"/>
        <w:spacing w:before="420" w:after="160"/>
      </w:pPr>
      <w:r>
        <w:rPr>
          <w:rFonts w:ascii="Arial" w:hAnsi="Arial"/>
          <w:color w:val="000000"/>
          <w:sz w:val="24"/>
          <w:b/>
        </w:rPr>
        <w:t>Per-sample divergence and group statistics (TCGA)</w:t>
      </w:r>
    </w:p>
    <w:p>
      <w:pPr>
        <w:spacing w:line="276" w:lineRule="auto" w:after="80"/>
        <w:ind w:firstLine="0"/>
      </w:pPr>
      <w:r>
        <w:rPr>
          <w:rFonts w:ascii="Arial" w:hAnsi="Arial"/>
          <w:b w:val="0"/>
          <w:i w:val="0"/>
          <w:color w:val="000000"/>
          <w:sz w:val="22"/>
        </w:rPr>
        <w:t>Per-tumor statistics were derived from the linear-normalization pair table (35,306 pairs: 2,000 TT pairs per cancer type drawn by seeded subsampling, complete NN pairs, and 2,000 TN pairs per cancer type; sample-labelled), as the mean of ω, k_f, and k_n over all pairs in which a given sample participates (median 4–11 pairs per tumor across cancer types). Group-level NN/TT and k_n ratios are reported as ratios of means with 95% confidence intervals from a sample-level cluster bootstrap (B = 1,000; seed 42): tumor and normal samples were resampled with replacement independently, each pair reweighted by the product of its endpoint resampling weights, and the ratio recomputed per resample. LUAD driver groups were assigned by matching cBioPortal mutation labels to the expression matrix by 15-character TCGA barcode (75 EGFR-labelled and 161 KRAS-labelled aliquots, of which 62 EGFR and 122 KRAS matched the matrix; 2 double mutants excluded), yielding 61 EGFR, 120 KRAS, and 311 wild-type tumors with pair coverage. Between-group differences were tested with Kruskal-Wallis followed by Dunn post-hoc tests with Holm correction (manual implementation, tie-corrected rank variances); group mean differences are reported with within-group bootstrap 95% CIs (B = 1,000). The LIHC survival analysis used Cox proportional-hazards regression (statsmodels PHReg) with per-tumor ω standardized to unit SD (hazard ratios per SD), adjusted for AJCC stage (I–IV), Edmondson grade (G1–G4), age, and sex, with listwise deletion of missing covariates; k_f-only, k_n-only, and tumor–normal-ω exposures were run as sensitivity models. Scripts: notebooks/nc49_tcga_main.py, notebooks/nc49_pilot_lihc_cox.py; outputs: results/nc49_tcga_pancancer.csv, results/nc49_tcga_luad_mutation.csv, results/nc49_pilot_lihc_cox.csv.</w:t>
      </w:r>
    </w:p>
    <w:p>
      <w:pPr>
        <w:pStyle w:val="Heading2"/>
        <w:spacing w:before="420" w:after="160"/>
      </w:pPr>
      <w:r>
        <w:rPr>
          <w:rFonts w:ascii="Arial" w:hAnsi="Arial"/>
          <w:color w:val="000000"/>
          <w:sz w:val="24"/>
          <w:b/>
        </w:rPr>
        <w:t>Clinical severity analysis</w:t>
      </w:r>
    </w:p>
    <w:p>
      <w:pPr>
        <w:spacing w:line="276" w:lineRule="auto" w:after="80"/>
        <w:ind w:firstLine="0"/>
      </w:pPr>
      <w:r>
        <w:rPr>
          <w:rFonts w:ascii="Arial" w:hAnsi="Arial"/>
          <w:b w:val="0"/>
          <w:i w:val="0"/>
          <w:color w:val="000000"/>
          <w:sz w:val="22"/>
        </w:rPr>
        <w:t xml:space="preserve">In supplementary within-cancer-type stratification analyses, we computed intratumoral ω for samples within each clinical stratum using the hybrid scheme. BRCA PAM50 subtype calls </w:t>
      </w:r>
      <w:r>
        <w:rPr>
          <w:rFonts w:ascii="Arial" w:hAnsi="Arial"/>
          <w:b w:val="0"/>
          <w:i w:val="0"/>
          <w:color w:val="000000"/>
          <w:sz w:val="22"/>
          <w:vertAlign w:val="superscript"/>
        </w:rPr>
        <w:t>16,17</w:t>
      </w:r>
      <w:r>
        <w:rPr>
          <w:rFonts w:ascii="Arial" w:hAnsi="Arial"/>
          <w:b w:val="0"/>
          <w:i w:val="0"/>
          <w:color w:val="000000"/>
          <w:sz w:val="22"/>
        </w:rPr>
        <w:t xml:space="preserve"> were retrieved directly from the cBioPortal API (brca_tcga_pub study, PAM50_SUBTYPE clinical attribute; 522 samples with subtype calls, cached locally for reproducibility, of which 506 had matched expression data and entered the analysis); no de novo centroid-based classification was performed in this work. LIHC Edmondson grades </w:t>
      </w:r>
      <w:r>
        <w:rPr>
          <w:rFonts w:ascii="Arial" w:hAnsi="Arial"/>
          <w:b w:val="0"/>
          <w:i w:val="0"/>
          <w:color w:val="000000"/>
          <w:sz w:val="22"/>
          <w:vertAlign w:val="superscript"/>
        </w:rPr>
        <w:t>15</w:t>
      </w:r>
      <w:r>
        <w:rPr>
          <w:rFonts w:ascii="Arial" w:hAnsi="Arial"/>
          <w:b w:val="0"/>
          <w:i w:val="0"/>
          <w:color w:val="000000"/>
          <w:sz w:val="22"/>
        </w:rPr>
        <w:t xml:space="preserve"> came from cBioPortal (n = 288 tumors), and LUAD mutation status (EGFR, KRAS, WT) from cBioPortal (n = 492 samples). Between-stratum differences were tested with Kruskal-Wallis (PAM50 subtypes, LUAD mutations) and trend with Jonckheere-Terpstra (Edmondson grades). Paired versus unpaired tumor-normal comparisons are reported as descriptive statistics (medians and interquartile ranges, IQRs) without formal P-values, as the paired design does not meet the independence assumption of standard between-group tests. k_f-only and k_n component controls for the ordering claims were computed with the identical pipeline (per-cancer loading, gene filtering, and TT-pair subsampling), stratifying per-tumor mean k_f and k_n exactly as for ω; per-cell-type mean k_f for the cross-organ ranking was computed from the same pseudobulks and per-pair gene selection (notebooks/83_kf_only_ordering.py; results/kf_only_ordering.csv; results/kf_only_severity.csv; Supplementary Note 9).</w:t>
      </w:r>
    </w:p>
    <w:p>
      <w:pPr>
        <w:pStyle w:val="Heading2"/>
        <w:spacing w:before="420" w:after="160"/>
      </w:pPr>
      <w:r>
        <w:rPr>
          <w:rFonts w:ascii="Arial" w:hAnsi="Arial"/>
          <w:color w:val="000000"/>
          <w:sz w:val="24"/>
          <w:b/>
        </w:rPr>
        <w:t>Computational environment</w:t>
      </w:r>
    </w:p>
    <w:p>
      <w:pPr>
        <w:spacing w:line="276" w:lineRule="auto" w:after="80"/>
        <w:ind w:firstLine="0"/>
      </w:pPr>
      <w:r>
        <w:rPr>
          <w:rFonts w:ascii="Arial" w:hAnsi="Arial"/>
          <w:b w:val="0"/>
          <w:i w:val="0"/>
          <w:color w:val="000000"/>
          <w:sz w:val="22"/>
        </w:rPr>
        <w:t xml:space="preserve">Typical runtime for a single cell-type pair is under 5 minutes on a standard laptop; the full brain analysis (31,764 pairs) required approximately 72 core-hours on a Windows x64 workstation with at least 32 GB RAM (the verified environment of the Reproducibility Guide, Section 1.1; Additional file 2: Reproducibility Guide). All analyses were performed in Python 3.14.4 with scanpy 1.12.1 </w:t>
      </w:r>
      <w:r>
        <w:rPr>
          <w:rFonts w:ascii="Arial" w:hAnsi="Arial"/>
          <w:b w:val="0"/>
          <w:i w:val="0"/>
          <w:color w:val="000000"/>
          <w:sz w:val="22"/>
          <w:vertAlign w:val="superscript"/>
        </w:rPr>
        <w:t>46</w:t>
      </w:r>
      <w:r>
        <w:rPr>
          <w:rFonts w:ascii="Arial" w:hAnsi="Arial"/>
          <w:b w:val="0"/>
          <w:i w:val="0"/>
          <w:color w:val="000000"/>
          <w:sz w:val="22"/>
        </w:rPr>
        <w:t xml:space="preserve">, scipy ≥ 1.10.0, numpy ≥ 1.23.0, pandas ≥ 1.5.0, matplotlib ≥ 3.6.0, seaborn </w:t>
      </w:r>
      <w:r>
        <w:rPr>
          <w:rFonts w:ascii="Arial" w:hAnsi="Arial"/>
          <w:b w:val="0"/>
          <w:i w:val="0"/>
          <w:color w:val="000000"/>
          <w:sz w:val="22"/>
          <w:vertAlign w:val="superscript"/>
        </w:rPr>
        <w:t>52</w:t>
      </w:r>
      <w:r>
        <w:rPr>
          <w:rFonts w:ascii="Arial" w:hAnsi="Arial"/>
          <w:b w:val="0"/>
          <w:i w:val="0"/>
          <w:color w:val="000000"/>
          <w:sz w:val="22"/>
        </w:rPr>
        <w:t xml:space="preserve"> ≥ 0.12.0, and scikit-learn </w:t>
      </w:r>
      <w:r>
        <w:rPr>
          <w:rFonts w:ascii="Arial" w:hAnsi="Arial"/>
          <w:b w:val="0"/>
          <w:i w:val="0"/>
          <w:color w:val="000000"/>
          <w:sz w:val="22"/>
          <w:vertAlign w:val="superscript"/>
        </w:rPr>
        <w:t>53</w:t>
      </w:r>
      <w:r>
        <w:rPr>
          <w:rFonts w:ascii="Arial" w:hAnsi="Arial"/>
          <w:b w:val="0"/>
          <w:i w:val="0"/>
          <w:color w:val="000000"/>
          <w:sz w:val="22"/>
        </w:rPr>
        <w:t xml:space="preserve"> ≥ 1.2.0; random seeds were fixed at 42 throughout, except scripts 77/78/79, which used seed 20260903. Permutation results are stable with respect to seed choice: with B = 1,000 permutations the Monte Carlo standard error of the empirical P-value is approximately 0.016 at P = 0.5, so seed variation has negligible impact on statistical conclusions.</w:t>
      </w:r>
    </w:p>
    <w:p>
      <w:pPr>
        <w:pStyle w:val="Heading2"/>
        <w:spacing w:before="420" w:after="160"/>
      </w:pPr>
      <w:r>
        <w:rPr>
          <w:rFonts w:ascii="Arial" w:hAnsi="Arial"/>
          <w:color w:val="000000"/>
          <w:sz w:val="24"/>
          <w:b/>
        </w:rPr>
        <w:t>Statistics and reproducibility</w:t>
      </w:r>
    </w:p>
    <w:p>
      <w:pPr>
        <w:spacing w:line="276" w:lineRule="auto" w:after="80"/>
        <w:ind w:firstLine="0"/>
      </w:pPr>
      <w:r>
        <w:rPr>
          <w:rFonts w:ascii="Arial" w:hAnsi="Arial"/>
          <w:b w:val="0"/>
          <w:i w:val="0"/>
          <w:color w:val="000000"/>
          <w:sz w:val="22"/>
        </w:rPr>
        <w:t xml:space="preserve">We report summary statistics as mean ± s.d. (range) or median [IQR] as noted. Resampling-based inference </w:t>
      </w:r>
      <w:r>
        <w:rPr>
          <w:rFonts w:ascii="Arial" w:hAnsi="Arial"/>
          <w:b w:val="0"/>
          <w:i w:val="0"/>
          <w:color w:val="000000"/>
          <w:sz w:val="22"/>
          <w:vertAlign w:val="superscript"/>
        </w:rPr>
        <w:t>54</w:t>
      </w:r>
      <w:r>
        <w:rPr>
          <w:rFonts w:ascii="Arial" w:hAnsi="Arial"/>
          <w:b w:val="0"/>
          <w:i w:val="0"/>
          <w:color w:val="000000"/>
          <w:sz w:val="22"/>
        </w:rPr>
        <w:t xml:space="preserve"> (permutation tests for P-values; bootstrap for confidence intervals) was performed for all four datasets with B = 1,000: label permutation for the mouse pilot (15 cell-type pairs, 6 calibration control populations with 50 split-half replicates each), human Tabula Sapiens, and TCGA, and the block-shuffle null for the brain atlas (Methods). Empirical P-values are one-sided, P = (count(ω_null ≥ ω_obs) + 1)/(B + 1), with the exchangeability unit following the dataset structure; in each iteration pseudobulks are recomputed from the permuted groups and ω recalculated with identity genes re-selected on the permuted pseudobulks (the TCGA per-cancer permutation test is the sole exception, holding a fixed HVG panel; Methods). Benjamini-Hochberg FDR correction </w:t>
      </w:r>
      <w:r>
        <w:rPr>
          <w:rFonts w:ascii="Arial" w:hAnsi="Arial"/>
          <w:b w:val="0"/>
          <w:i w:val="0"/>
          <w:color w:val="000000"/>
          <w:sz w:val="22"/>
          <w:vertAlign w:val="superscript"/>
        </w:rPr>
        <w:t>45</w:t>
      </w:r>
      <w:r>
        <w:rPr>
          <w:rFonts w:ascii="Arial" w:hAnsi="Arial"/>
          <w:b w:val="0"/>
          <w:i w:val="0"/>
          <w:color w:val="000000"/>
          <w:sz w:val="22"/>
        </w:rPr>
        <w:t xml:space="preserve"> is applied within each dataset, with two levels distinguished. First, group-level tests (one test per cell class, cell type, or cancer type): brain cell-class (m = 10), human per-cell-type (m = 17), mouse pilot (m = 15), TCGA per-cancer (m = 5); the BH thresholds for the most significant test (0.05/m) are 5.0 × 10⁻³, 2.9 × 10⁻³, 3.3 × 10⁻³, and 1.0 × 10⁻²—all above the minimum resolvable permutation P-value of 9.99 × 10⁻⁴ at B = 1,000, so resolution is sufficient for every group-level test. Second, the brain per-pair screen, with BH correction across all m = 31,764 region pairs: the BH threshold for the smallest ordered P-value (0.05/31,764 ≈ 1.6 × 10⁻⁶) lies roughly 600-fold below the smallest resolvable P, so q &lt; 0.05 is unattainable unless ~635 of the 31,764 P-values sit at the permutation floor (a regime the empirical FDR analysis shows is not approached) or B ≈ 6 × 10⁵ permutations are run. The per-pair FDR outcome (minimum q = 0.520) is consequently a statement about permutation resolution rather than evidence against any candidate, and we report it together with the raw permutation P-value distribution (1,960 of 31,764 pairs at raw P &lt; 0.05, slightly more than the ~1,588 expected under a global null).</w:t>
      </w:r>
    </w:p>
    <w:p>
      <w:pPr>
        <w:spacing w:line="276" w:lineRule="auto" w:after="80"/>
        <w:ind w:firstLine="0"/>
      </w:pPr>
      <w:r>
        <w:rPr>
          <w:rFonts w:ascii="Arial" w:hAnsi="Arial"/>
          <w:b w:val="0"/>
          <w:i w:val="0"/>
          <w:color w:val="000000"/>
          <w:sz w:val="22"/>
        </w:rPr>
        <w:t>Bootstrap 95% confidence intervals for ω point estimates were computed by resampling observed pair-level ω values with replacement (B = 10,000) and reporting the 2.5th and 97.5th percentiles. Because pairs are nested within regions, we additionally computed region-clustered block bootstrap 95% CIs (B = 2,000; the 108 regions resampled with replacement, all landscape statistics recomputed per resample): gradient 6.10 [5.55, 9.63], grand mean ω 38.55 [36.35, 40.73], Strong-candidate count 39 [12, 74]; these cluster-aware intervals are wider and are the preferred uncertainty summary for landscape-level quantities. Per-class calibrated quantities additionally propagate the uncertainty of the calibration denominator: a joint region-clustered bootstrap (B = 5,000) resamples regions with replacement for the numerator (region-clustered weighted resampling, pair weights equal to the product of the two regions’ library counts) while independently resampling the split-half control populations for the denominator (two-stage: control populations first, random half-splits within each drawn population second), and reports the 2.5th and 97.5th percentiles of the ratio; this joint interval supersedes the earlier i.i.d. interval, which propagated neither source and was anti-conservative (Supplementary Note 3; notebooks/81_perclass_uncertainty.py). The ω distribution was characterized using skewness, excess kurtosis, and normality tests (Shapiro-Wilk for n ≤ 5,000; D’Agostino-Pearson for n &gt; 5,000): all distributions were right-skewed (brain 2.22; mouse pilot 0.99; human 1.17), and normality was rejected for the large datasets (brain P &lt; 2.2 × 10⁻¹⁶; human P = 7.6 × 10⁻⁴²) but not for the mouse pilot (P = 0.071, minimal power at n = 15). The split-half calibration experiment (50 random-split replicates across six control populations of the same tissue, 300 ω values) yielded a mean ω = 7.70 (95% CI [7.37, 8.02]; SD of replicate means = 1.15, pooled SD = 3.63; the legacy n = 6 estimate 6.67 is consistent with it), reflecting systematic inflation of k_f relative to k_n from identity-gene selection; the permutation test accounts for this by constructing the null under the same gene-selection procedure.</w:t>
      </w:r>
    </w:p>
    <w:p>
      <w:pPr>
        <w:spacing w:line="276" w:lineRule="auto" w:after="80"/>
        <w:ind w:firstLine="0"/>
      </w:pPr>
      <w:r>
        <w:rPr>
          <w:rFonts w:ascii="Arial" w:hAnsi="Arial"/>
          <w:b w:val="0"/>
          <w:i w:val="0"/>
          <w:color w:val="000000"/>
          <w:sz w:val="22"/>
        </w:rPr>
        <w:t>Statistical conventions. All P-values are from one-sided permutation tests (B = 1,000 for mouse/human/TCGA/brain and for the multiplicative residual model block-shuffle null) unless otherwise specified. Benjamini-Hochberg FDR correction was applied within each dataset. Non-parametric tests (Spearman correlation, Mann-Whitney U, Kruskal-Wallis, Jonckheere-Terpstra) are two-sided and reported with exact P-values, with one exception: the mouse-pilot X-versus-C calibration contrast (Fig. 2c) uses a one-sided Mann-Whitney U test (H1: ω_X &gt; ω_C) matching the directional calibration hypothesis; as an exploratory pilot (n = 15) this contrast is reported for transparency rather than as a pre-registered test. Descriptive statistics are reported as mean ± SD or median [IQR] as indicated. Effect sizes include standardized effect size (SES = (ω_obs − mean(ω_null)) / sd(ω_null)), computed from the permutation null distribution. Bootstrap 95% confidence intervals use B = 10,000 resamples. All analyses use JS divergence with base-2 logarithm. Sample sizes (n) are reported for each comparison.</w:t>
      </w:r>
    </w:p>
    <w:p>
      <w:pPr>
        <w:pStyle w:val="Heading2"/>
        <w:spacing w:before="420" w:after="160"/>
      </w:pPr>
      <w:r>
        <w:rPr>
          <w:rFonts w:ascii="Arial" w:hAnsi="Arial"/>
          <w:color w:val="000000"/>
          <w:sz w:val="24"/>
          <w:b/>
        </w:rPr>
        <w:t>Use of large language models</w:t>
      </w:r>
    </w:p>
    <w:p>
      <w:pPr>
        <w:spacing w:line="276" w:lineRule="auto" w:after="80"/>
        <w:ind w:firstLine="0"/>
      </w:pPr>
      <w:r>
        <w:rPr>
          <w:rFonts w:ascii="Arial" w:hAnsi="Arial"/>
          <w:b w:val="0"/>
          <w:i w:val="0"/>
          <w:color w:val="000000"/>
          <w:sz w:val="22"/>
        </w:rPr>
        <w:t>During the preparation of this work the authors used AI-assisted tools (large language model-based assistants) for computational debugging, statistical code review, and language editing. After using these tools, the authors reviewed and edited the content as needed and take full responsibility for the content of the published article.</w:t>
      </w:r>
    </w:p>
    <w:p>
      <w:pPr>
        <w:pStyle w:val="Heading1"/>
        <w:spacing w:before="420" w:after="160"/>
      </w:pPr>
      <w:r>
        <w:rPr>
          <w:rFonts w:ascii="Arial" w:hAnsi="Arial"/>
          <w:color w:val="000000"/>
          <w:sz w:val="28"/>
          <w:b/>
        </w:rPr>
        <w:t>Data availability</w:t>
      </w:r>
    </w:p>
    <w:p>
      <w:pPr>
        <w:spacing w:line="276" w:lineRule="auto" w:after="80"/>
        <w:ind w:firstLine="0"/>
      </w:pPr>
      <w:r>
        <w:rPr>
          <w:rFonts w:ascii="Arial" w:hAnsi="Arial"/>
          <w:b w:val="0"/>
          <w:i w:val="0"/>
          <w:color w:val="000000"/>
          <w:sz w:val="22"/>
        </w:rPr>
        <w:t>Tabula Muris data: GEO accession GSE109774. Tabula Sapiens data: CZ CELLxGENE Discover (https://cellxgene.cziscience.com/, accessed July 2025). TCGA data: NCI Genomic Data Commons (https://portal.gdc.cancer.gov/). HRT Atlas (optional human/mouse housekeeping-gene reference): https://www.housekeeping.unicamp.br. Human brain atlas: CZ CELLxGENE Discover, collection ID 283d65eb-dd53-496d-adb7-7570c7caa443 (https://cellxgene.cziscience.com/collections/283d65eb-dd53-496d-adb7-7570c7caa443, accessed July 2025). Kang et al. IFN-β-stimulated PBMC data: GEO accession GSE96583. BRCA PAM50 subtype assignments: cBioPortal (brca_tcga_pub study, PAM50_SUBTYPE clinical attribute). MSigDB Hallmark gene sets: Broad Institute Molecular Signatures Database.</w:t>
      </w:r>
    </w:p>
    <w:p>
      <w:pPr>
        <w:pStyle w:val="Heading1"/>
        <w:spacing w:before="420" w:after="160"/>
      </w:pPr>
      <w:r>
        <w:rPr>
          <w:rFonts w:ascii="Arial" w:hAnsi="Arial"/>
          <w:color w:val="000000"/>
          <w:sz w:val="28"/>
          <w:b/>
        </w:rPr>
        <w:t>Code availability</w:t>
      </w:r>
    </w:p>
    <w:p>
      <w:pPr>
        <w:spacing w:line="276" w:lineRule="auto" w:after="80"/>
        <w:ind w:firstLine="0"/>
      </w:pPr>
      <w:r>
        <w:rPr>
          <w:rFonts w:ascii="Arial" w:hAnsi="Arial"/>
          <w:b w:val="0"/>
          <w:i w:val="0"/>
          <w:color w:val="000000"/>
          <w:sz w:val="22"/>
        </w:rPr>
        <w:t>The CKI source code (v0.5.0) is publicly available at https://github.com/zhanglknt/CKI-cell-type-identification (tag v0.5.0) under the MIT License. A permanent archival copy has been deposited at Zenodo (concept DOI: 10.5281/zenodo.20405458; version DOI for v0.5.0: 10.5281/zenodo.22735744). The package requires Python ≥3.10 and runs on Linux, macOS, and Windows. A Dockerfile is provided in the repository for containerized reproducibility. All analysis notebooks and processed data matrices are available in the same GitHub repository (tag v0.5.0) and are included in the Zenodo archive (concept DOI: 10.5281/zenodo.20405458).</w:t>
      </w:r>
    </w:p>
    <w:p>
      <w:pPr>
        <w:pStyle w:val="Heading1"/>
        <w:spacing w:before="420" w:after="160"/>
      </w:pPr>
      <w:r>
        <w:rPr>
          <w:rFonts w:ascii="Arial" w:hAnsi="Arial"/>
          <w:color w:val="000000"/>
          <w:sz w:val="28"/>
          <w:b/>
        </w:rPr>
        <w:t>References</w:t>
      </w:r>
    </w:p>
    <w:p>
      <w:pPr>
        <w:spacing w:line="276" w:lineRule="auto" w:after="60"/>
      </w:pPr>
      <w:r>
        <w:rPr>
          <w:rFonts w:ascii="Arial" w:hAnsi="Arial"/>
          <w:b w:val="0"/>
          <w:i w:val="0"/>
          <w:color w:val="000000"/>
          <w:sz w:val="20"/>
        </w:rPr>
        <w:t xml:space="preserve">1. Regev, A. et al. The Human Cell Atlas.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e27041 (2017).</w:t>
      </w:r>
    </w:p>
    <w:p>
      <w:pPr>
        <w:spacing w:line="276" w:lineRule="auto" w:after="60"/>
      </w:pPr>
      <w:r>
        <w:rPr>
          <w:rFonts w:ascii="Arial" w:hAnsi="Arial"/>
          <w:b w:val="0"/>
          <w:i w:val="0"/>
          <w:color w:val="000000"/>
          <w:sz w:val="20"/>
        </w:rPr>
        <w:t xml:space="preserve">2. Korsunsky, I. et al. Fast, sensitive and accurate integration of single-cell data with Harmony.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16,</w:t>
      </w:r>
      <w:r>
        <w:rPr>
          <w:rFonts w:ascii="Arial" w:hAnsi="Arial"/>
          <w:b w:val="0"/>
          <w:i w:val="0"/>
          <w:color w:val="000000"/>
          <w:sz w:val="20"/>
        </w:rPr>
        <w:t xml:space="preserve"> 1289–1296 (2019).</w:t>
      </w:r>
    </w:p>
    <w:p>
      <w:pPr>
        <w:spacing w:line="276" w:lineRule="auto" w:after="60"/>
      </w:pPr>
      <w:r>
        <w:rPr>
          <w:rFonts w:ascii="Arial" w:hAnsi="Arial"/>
          <w:b w:val="0"/>
          <w:i w:val="0"/>
          <w:color w:val="000000"/>
          <w:sz w:val="20"/>
        </w:rPr>
        <w:t xml:space="preserve">3. Lopez, R., Regier, J., Cole, M. B., Jordan, M. I. &amp; Yosef, N. Deep generative modeling for single-cell transcriptomics.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1053–1058 (2018).</w:t>
      </w:r>
    </w:p>
    <w:p>
      <w:pPr>
        <w:spacing w:line="276" w:lineRule="auto" w:after="60"/>
      </w:pPr>
      <w:r>
        <w:rPr>
          <w:rFonts w:ascii="Arial" w:hAnsi="Arial"/>
          <w:b w:val="0"/>
          <w:i w:val="0"/>
          <w:color w:val="000000"/>
          <w:sz w:val="20"/>
        </w:rPr>
        <w:t xml:space="preserve">4. Rosen, Y. et al. Toward universal cell embeddings: integrating single-cell RNA-seq datasets across species with SATURN. </w:t>
      </w:r>
      <w:r>
        <w:rPr>
          <w:rFonts w:ascii="Arial" w:hAnsi="Arial"/>
          <w:b w:val="0"/>
          <w:i/>
          <w:color w:val="000000"/>
          <w:sz w:val="20"/>
        </w:rPr>
        <w:t>Nat. Methods</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1492–1500 (2024).</w:t>
      </w:r>
    </w:p>
    <w:p>
      <w:pPr>
        <w:spacing w:line="276" w:lineRule="auto" w:after="60"/>
      </w:pPr>
      <w:r>
        <w:rPr>
          <w:rFonts w:ascii="Arial" w:hAnsi="Arial"/>
          <w:b w:val="0"/>
          <w:i w:val="0"/>
          <w:color w:val="000000"/>
          <w:sz w:val="20"/>
        </w:rPr>
        <w:t xml:space="preserve">5. Tran, H. T. N. et al. A benchmark of batch-effect correction methods for single-cell RNA sequencing data.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21,</w:t>
      </w:r>
      <w:r>
        <w:rPr>
          <w:rFonts w:ascii="Arial" w:hAnsi="Arial"/>
          <w:b w:val="0"/>
          <w:i w:val="0"/>
          <w:color w:val="000000"/>
          <w:sz w:val="20"/>
        </w:rPr>
        <w:t xml:space="preserve"> 12 (2020).</w:t>
      </w:r>
    </w:p>
    <w:p>
      <w:pPr>
        <w:spacing w:line="276" w:lineRule="auto" w:after="60"/>
      </w:pPr>
      <w:r>
        <w:rPr>
          <w:rFonts w:ascii="Arial" w:hAnsi="Arial"/>
          <w:b w:val="0"/>
          <w:i w:val="0"/>
          <w:color w:val="000000"/>
          <w:sz w:val="20"/>
        </w:rPr>
        <w:t xml:space="preserve">6. Nei, M. &amp; Gojobori, T. Simple methods for estimating the numbers of synonymous and nonsynonymous nucleotide substitutions.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418–426 (1986).</w:t>
      </w:r>
    </w:p>
    <w:p>
      <w:pPr>
        <w:spacing w:line="276" w:lineRule="auto" w:after="60"/>
      </w:pPr>
      <w:r>
        <w:rPr>
          <w:rFonts w:ascii="Arial" w:hAnsi="Arial"/>
          <w:b w:val="0"/>
          <w:i w:val="0"/>
          <w:color w:val="000000"/>
          <w:sz w:val="20"/>
        </w:rPr>
        <w:t xml:space="preserve">7. Yang, Z. PAML 4: phylogenetic analysis by maximum likelihood. </w:t>
      </w:r>
      <w:r>
        <w:rPr>
          <w:rFonts w:ascii="Arial" w:hAnsi="Arial"/>
          <w:b w:val="0"/>
          <w:i/>
          <w:color w:val="000000"/>
          <w:sz w:val="20"/>
        </w:rPr>
        <w:t>Mol. Biol. Evol.</w:t>
      </w:r>
      <w:r>
        <w:rPr>
          <w:rFonts w:ascii="Arial" w:hAnsi="Arial"/>
          <w:b w:val="0"/>
          <w:i w:val="0"/>
          <w:color w:val="000000"/>
          <w:sz w:val="20"/>
        </w:rPr>
        <w:t xml:space="preserve"> </w:t>
      </w:r>
      <w:r>
        <w:rPr>
          <w:rFonts w:ascii="Arial" w:hAnsi="Arial"/>
          <w:b/>
          <w:i w:val="0"/>
          <w:color w:val="000000"/>
          <w:sz w:val="20"/>
        </w:rPr>
        <w:t>24,</w:t>
      </w:r>
      <w:r>
        <w:rPr>
          <w:rFonts w:ascii="Arial" w:hAnsi="Arial"/>
          <w:b w:val="0"/>
          <w:i w:val="0"/>
          <w:color w:val="000000"/>
          <w:sz w:val="20"/>
        </w:rPr>
        <w:t xml:space="preserve"> 1586–1591 (2007).</w:t>
      </w:r>
    </w:p>
    <w:p>
      <w:pPr>
        <w:spacing w:line="276" w:lineRule="auto" w:after="60"/>
      </w:pPr>
      <w:r>
        <w:rPr>
          <w:rFonts w:ascii="Arial" w:hAnsi="Arial"/>
          <w:b w:val="0"/>
          <w:i w:val="0"/>
          <w:color w:val="000000"/>
          <w:sz w:val="20"/>
        </w:rPr>
        <w:t xml:space="preserve">8. Tabula Muris Consortium. Single-cell transcriptomics of 20 mouse organs creates a Tabula Muris.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562,</w:t>
      </w:r>
      <w:r>
        <w:rPr>
          <w:rFonts w:ascii="Arial" w:hAnsi="Arial"/>
          <w:b w:val="0"/>
          <w:i w:val="0"/>
          <w:color w:val="000000"/>
          <w:sz w:val="20"/>
        </w:rPr>
        <w:t xml:space="preserve"> 367–372 (2018).</w:t>
      </w:r>
    </w:p>
    <w:p>
      <w:pPr>
        <w:spacing w:line="276" w:lineRule="auto" w:after="60"/>
      </w:pPr>
      <w:r>
        <w:rPr>
          <w:rFonts w:ascii="Arial" w:hAnsi="Arial"/>
          <w:b w:val="0"/>
          <w:i w:val="0"/>
          <w:color w:val="000000"/>
          <w:sz w:val="20"/>
        </w:rPr>
        <w:t xml:space="preserve">9. Tabula Sapiens Consortium. The Tabula Sapiens: a multiple-organ, single-cell transcriptomic atlas of humans.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376,</w:t>
      </w:r>
      <w:r>
        <w:rPr>
          <w:rFonts w:ascii="Arial" w:hAnsi="Arial"/>
          <w:b w:val="0"/>
          <w:i w:val="0"/>
          <w:color w:val="000000"/>
          <w:sz w:val="20"/>
        </w:rPr>
        <w:t xml:space="preserve"> eabl4896 (2022).</w:t>
      </w:r>
    </w:p>
    <w:p>
      <w:pPr>
        <w:spacing w:line="276" w:lineRule="auto" w:after="60"/>
      </w:pPr>
      <w:r>
        <w:rPr>
          <w:rFonts w:ascii="Arial" w:hAnsi="Arial"/>
          <w:b w:val="0"/>
          <w:i w:val="0"/>
          <w:color w:val="000000"/>
          <w:sz w:val="20"/>
        </w:rPr>
        <w:t xml:space="preserve">10. Cancer Genome Atlas Research Network. Comprehensive molecular profiling of lung adenocarcinoma.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511,</w:t>
      </w:r>
      <w:r>
        <w:rPr>
          <w:rFonts w:ascii="Arial" w:hAnsi="Arial"/>
          <w:b w:val="0"/>
          <w:i w:val="0"/>
          <w:color w:val="000000"/>
          <w:sz w:val="20"/>
        </w:rPr>
        <w:t xml:space="preserve"> 543–550 (2014).</w:t>
      </w:r>
    </w:p>
    <w:p>
      <w:pPr>
        <w:spacing w:line="276" w:lineRule="auto" w:after="60"/>
      </w:pPr>
      <w:r>
        <w:rPr>
          <w:rFonts w:ascii="Arial" w:hAnsi="Arial"/>
          <w:b w:val="0"/>
          <w:i w:val="0"/>
          <w:color w:val="000000"/>
          <w:sz w:val="20"/>
        </w:rPr>
        <w:t xml:space="preserve">11. Cancer Genome Atlas Network. Comprehensive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490,</w:t>
      </w:r>
      <w:r>
        <w:rPr>
          <w:rFonts w:ascii="Arial" w:hAnsi="Arial"/>
          <w:b w:val="0"/>
          <w:i w:val="0"/>
          <w:color w:val="000000"/>
          <w:sz w:val="20"/>
        </w:rPr>
        <w:t xml:space="preserve"> 61–70 (2012).</w:t>
      </w:r>
    </w:p>
    <w:p>
      <w:pPr>
        <w:spacing w:line="276" w:lineRule="auto" w:after="60"/>
      </w:pPr>
      <w:r>
        <w:rPr>
          <w:rFonts w:ascii="Arial" w:hAnsi="Arial"/>
          <w:b w:val="0"/>
          <w:i w:val="0"/>
          <w:color w:val="000000"/>
          <w:sz w:val="20"/>
        </w:rPr>
        <w:t xml:space="preserve">12. Siletti, K. et al. Transcriptomic diversity of cell types across the adult human brain.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382,</w:t>
      </w:r>
      <w:r>
        <w:rPr>
          <w:rFonts w:ascii="Arial" w:hAnsi="Arial"/>
          <w:b w:val="0"/>
          <w:i w:val="0"/>
          <w:color w:val="000000"/>
          <w:sz w:val="20"/>
        </w:rPr>
        <w:t xml:space="preserve"> eadd7046 (2023).</w:t>
      </w:r>
    </w:p>
    <w:p>
      <w:pPr>
        <w:spacing w:line="276" w:lineRule="auto" w:after="60"/>
      </w:pPr>
      <w:r>
        <w:rPr>
          <w:rFonts w:ascii="Arial" w:hAnsi="Arial"/>
          <w:b w:val="0"/>
          <w:i w:val="0"/>
          <w:color w:val="000000"/>
          <w:sz w:val="20"/>
        </w:rPr>
        <w:t xml:space="preserve">13. Hounkpe, B. W., Chenou, F., de Lima, F. &amp; De Paula, E. V. HRT Atlas v1.0 database: redefining human and mouse housekeeping genes and candidate reference transcripts by mining massive RNA-seq datasets.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49,</w:t>
      </w:r>
      <w:r>
        <w:rPr>
          <w:rFonts w:ascii="Arial" w:hAnsi="Arial"/>
          <w:b w:val="0"/>
          <w:i w:val="0"/>
          <w:color w:val="000000"/>
          <w:sz w:val="20"/>
        </w:rPr>
        <w:t xml:space="preserve"> D947–D955 (2021).</w:t>
      </w:r>
    </w:p>
    <w:p>
      <w:pPr>
        <w:spacing w:line="276" w:lineRule="auto" w:after="60"/>
      </w:pPr>
      <w:r>
        <w:rPr>
          <w:rFonts w:ascii="Arial" w:hAnsi="Arial"/>
          <w:b w:val="0"/>
          <w:i w:val="0"/>
          <w:color w:val="000000"/>
          <w:sz w:val="20"/>
        </w:rPr>
        <w:t xml:space="preserve">14. Kang, H. M. et al. Multiplexed droplet single-cell RNA-sequencing using natural genetic variation.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36,</w:t>
      </w:r>
      <w:r>
        <w:rPr>
          <w:rFonts w:ascii="Arial" w:hAnsi="Arial"/>
          <w:b w:val="0"/>
          <w:i w:val="0"/>
          <w:color w:val="000000"/>
          <w:sz w:val="20"/>
        </w:rPr>
        <w:t xml:space="preserve"> 89–94 (2018).</w:t>
      </w:r>
    </w:p>
    <w:p>
      <w:pPr>
        <w:spacing w:line="276" w:lineRule="auto" w:after="60"/>
      </w:pPr>
      <w:r>
        <w:rPr>
          <w:rFonts w:ascii="Arial" w:hAnsi="Arial"/>
          <w:b w:val="0"/>
          <w:i w:val="0"/>
          <w:color w:val="000000"/>
          <w:sz w:val="20"/>
        </w:rPr>
        <w:t xml:space="preserve">15. Edmondson, H. A. &amp; Steiner, P. E. Primary carcinoma of the liver: a study of 100 cases among 48,900 necropsies. </w:t>
      </w:r>
      <w:r>
        <w:rPr>
          <w:rFonts w:ascii="Arial" w:hAnsi="Arial"/>
          <w:b w:val="0"/>
          <w:i/>
          <w:color w:val="000000"/>
          <w:sz w:val="20"/>
        </w:rPr>
        <w:t>Cancer</w:t>
      </w:r>
      <w:r>
        <w:rPr>
          <w:rFonts w:ascii="Arial" w:hAnsi="Arial"/>
          <w:b w:val="0"/>
          <w:i w:val="0"/>
          <w:color w:val="000000"/>
          <w:sz w:val="20"/>
        </w:rPr>
        <w:t xml:space="preserve"> </w:t>
      </w:r>
      <w:r>
        <w:rPr>
          <w:rFonts w:ascii="Arial" w:hAnsi="Arial"/>
          <w:b/>
          <w:i w:val="0"/>
          <w:color w:val="000000"/>
          <w:sz w:val="20"/>
        </w:rPr>
        <w:t>7,</w:t>
      </w:r>
      <w:r>
        <w:rPr>
          <w:rFonts w:ascii="Arial" w:hAnsi="Arial"/>
          <w:b w:val="0"/>
          <w:i w:val="0"/>
          <w:color w:val="000000"/>
          <w:sz w:val="20"/>
        </w:rPr>
        <w:t xml:space="preserve"> 462–503 (1954).</w:t>
      </w:r>
    </w:p>
    <w:p>
      <w:pPr>
        <w:spacing w:line="276" w:lineRule="auto" w:after="60"/>
      </w:pPr>
      <w:r>
        <w:rPr>
          <w:rFonts w:ascii="Arial" w:hAnsi="Arial"/>
          <w:b w:val="0"/>
          <w:i w:val="0"/>
          <w:color w:val="000000"/>
          <w:sz w:val="20"/>
        </w:rPr>
        <w:t xml:space="preserve">16. Perou, C. M. et al. Molecular portraits of human breast tumours.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406,</w:t>
      </w:r>
      <w:r>
        <w:rPr>
          <w:rFonts w:ascii="Arial" w:hAnsi="Arial"/>
          <w:b w:val="0"/>
          <w:i w:val="0"/>
          <w:color w:val="000000"/>
          <w:sz w:val="20"/>
        </w:rPr>
        <w:t xml:space="preserve"> 747–752 (2000).</w:t>
      </w:r>
    </w:p>
    <w:p>
      <w:pPr>
        <w:spacing w:line="276" w:lineRule="auto" w:after="60"/>
      </w:pPr>
      <w:r>
        <w:rPr>
          <w:rFonts w:ascii="Arial" w:hAnsi="Arial"/>
          <w:b w:val="0"/>
          <w:i w:val="0"/>
          <w:color w:val="000000"/>
          <w:sz w:val="20"/>
        </w:rPr>
        <w:t xml:space="preserve">17. Parker, J. S. et al. Supervised risk predictor of breast cancer based on intrinsic subtypes. </w:t>
      </w:r>
      <w:r>
        <w:rPr>
          <w:rFonts w:ascii="Arial" w:hAnsi="Arial"/>
          <w:b w:val="0"/>
          <w:i/>
          <w:color w:val="000000"/>
          <w:sz w:val="20"/>
        </w:rPr>
        <w:t>J. Clin. Oncol.</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1160–1167 (2009).</w:t>
      </w:r>
    </w:p>
    <w:p>
      <w:pPr>
        <w:spacing w:line="276" w:lineRule="auto" w:after="60"/>
      </w:pPr>
      <w:r>
        <w:rPr>
          <w:rFonts w:ascii="Arial" w:hAnsi="Arial"/>
          <w:b w:val="0"/>
          <w:i w:val="0"/>
          <w:color w:val="000000"/>
          <w:sz w:val="20"/>
        </w:rPr>
        <w:t xml:space="preserve">18. Wälchli, T. et al. Single-cell atlas of the human brain vasculature across development, adulthood and disease.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632,</w:t>
      </w:r>
      <w:r>
        <w:rPr>
          <w:rFonts w:ascii="Arial" w:hAnsi="Arial"/>
          <w:b w:val="0"/>
          <w:i w:val="0"/>
          <w:color w:val="000000"/>
          <w:sz w:val="20"/>
        </w:rPr>
        <w:t xml:space="preserve"> 603–613 (2024).</w:t>
      </w:r>
    </w:p>
    <w:p>
      <w:pPr>
        <w:spacing w:line="276" w:lineRule="auto" w:after="60"/>
      </w:pPr>
      <w:r>
        <w:rPr>
          <w:rFonts w:ascii="Arial" w:hAnsi="Arial"/>
          <w:b w:val="0"/>
          <w:i w:val="0"/>
          <w:color w:val="000000"/>
          <w:sz w:val="20"/>
        </w:rPr>
        <w:t xml:space="preserve">19. Pfau, S. J. et al. Characteristics of blood-brain barrier heterogeneity between brain regions revealed by profiling vascular and perivascular cells.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1892–1903 (2024).</w:t>
      </w:r>
    </w:p>
    <w:p>
      <w:pPr>
        <w:spacing w:line="276" w:lineRule="auto" w:after="60"/>
      </w:pPr>
      <w:r>
        <w:rPr>
          <w:rFonts w:ascii="Arial" w:hAnsi="Arial"/>
          <w:b w:val="0"/>
          <w:i w:val="0"/>
          <w:color w:val="000000"/>
          <w:sz w:val="20"/>
        </w:rPr>
        <w:t xml:space="preserve">20. Jones, H. E. et al. Meningeal origins and dynamics of perivascular fibroblast development on the mouse cerebral vasculature. </w:t>
      </w:r>
      <w:r>
        <w:rPr>
          <w:rFonts w:ascii="Arial" w:hAnsi="Arial"/>
          <w:b w:val="0"/>
          <w:i/>
          <w:color w:val="000000"/>
          <w:sz w:val="20"/>
        </w:rPr>
        <w:t>Development</w:t>
      </w:r>
      <w:r>
        <w:rPr>
          <w:rFonts w:ascii="Arial" w:hAnsi="Arial"/>
          <w:b w:val="0"/>
          <w:i w:val="0"/>
          <w:color w:val="000000"/>
          <w:sz w:val="20"/>
        </w:rPr>
        <w:t xml:space="preserve"> </w:t>
      </w:r>
      <w:r>
        <w:rPr>
          <w:rFonts w:ascii="Arial" w:hAnsi="Arial"/>
          <w:b/>
          <w:i w:val="0"/>
          <w:color w:val="000000"/>
          <w:sz w:val="20"/>
        </w:rPr>
        <w:t>150,</w:t>
      </w:r>
      <w:r>
        <w:rPr>
          <w:rFonts w:ascii="Arial" w:hAnsi="Arial"/>
          <w:b w:val="0"/>
          <w:i w:val="0"/>
          <w:color w:val="000000"/>
          <w:sz w:val="20"/>
        </w:rPr>
        <w:t xml:space="preserve"> dev201805 (2023).</w:t>
      </w:r>
    </w:p>
    <w:p>
      <w:pPr>
        <w:spacing w:line="276" w:lineRule="auto" w:after="60"/>
      </w:pPr>
      <w:r>
        <w:rPr>
          <w:rFonts w:ascii="Arial" w:hAnsi="Arial"/>
          <w:b w:val="0"/>
          <w:i w:val="0"/>
          <w:color w:val="000000"/>
          <w:sz w:val="20"/>
        </w:rPr>
        <w:t xml:space="preserve">21. Tan, Y. L., Yuan, Y. &amp; Tian, L. Microglial regional heterogeneity and its role in the brain. </w:t>
      </w:r>
      <w:r>
        <w:rPr>
          <w:rFonts w:ascii="Arial" w:hAnsi="Arial"/>
          <w:b w:val="0"/>
          <w:i/>
          <w:color w:val="000000"/>
          <w:sz w:val="20"/>
        </w:rPr>
        <w:t>Mol. Psychiatry</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351–367 (2020).</w:t>
      </w:r>
    </w:p>
    <w:p>
      <w:pPr>
        <w:spacing w:line="276" w:lineRule="auto" w:after="60"/>
      </w:pPr>
      <w:r>
        <w:rPr>
          <w:rFonts w:ascii="Arial" w:hAnsi="Arial"/>
          <w:b w:val="0"/>
          <w:i w:val="0"/>
          <w:color w:val="000000"/>
          <w:sz w:val="20"/>
        </w:rPr>
        <w:t xml:space="preserve">22. Barry-Carroll, L. &amp; Gomez-Nicola, D. The molecular determinants of microglial developmental dynamics. </w:t>
      </w:r>
      <w:r>
        <w:rPr>
          <w:rFonts w:ascii="Arial" w:hAnsi="Arial"/>
          <w:b w:val="0"/>
          <w:i/>
          <w:color w:val="000000"/>
          <w:sz w:val="20"/>
        </w:rPr>
        <w:t>Nat. Rev. Neurosci.</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414–427 (2024).</w:t>
      </w:r>
    </w:p>
    <w:p>
      <w:pPr>
        <w:spacing w:line="276" w:lineRule="auto" w:after="60"/>
      </w:pPr>
      <w:r>
        <w:rPr>
          <w:rFonts w:ascii="Arial" w:hAnsi="Arial"/>
          <w:b w:val="0"/>
          <w:i w:val="0"/>
          <w:color w:val="000000"/>
          <w:sz w:val="20"/>
        </w:rPr>
        <w:t xml:space="preserve">23. Menassa, D. A. et al. The spatiotemporal dynamics of microglia across the human lifespan. </w:t>
      </w:r>
      <w:r>
        <w:rPr>
          <w:rFonts w:ascii="Arial" w:hAnsi="Arial"/>
          <w:b w:val="0"/>
          <w:i/>
          <w:color w:val="000000"/>
          <w:sz w:val="20"/>
        </w:rPr>
        <w:t>Dev. Cell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2127–2139.e6 (2022).</w:t>
      </w:r>
    </w:p>
    <w:p>
      <w:pPr>
        <w:spacing w:line="276" w:lineRule="auto" w:after="60"/>
      </w:pPr>
      <w:r>
        <w:rPr>
          <w:rFonts w:ascii="Arial" w:hAnsi="Arial"/>
          <w:b w:val="0"/>
          <w:i w:val="0"/>
          <w:color w:val="000000"/>
          <w:sz w:val="20"/>
        </w:rPr>
        <w:t xml:space="preserve">24. Barry-Carroll, L. et al. Microglia colonize the developing brain by clonal expansion of highly proliferative progenitors, following allometric scaling. </w:t>
      </w:r>
      <w:r>
        <w:rPr>
          <w:rFonts w:ascii="Arial" w:hAnsi="Arial"/>
          <w:b w:val="0"/>
          <w:i/>
          <w:color w:val="000000"/>
          <w:sz w:val="20"/>
        </w:rPr>
        <w:t>Cell Rep.</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112425 (2023).</w:t>
      </w:r>
    </w:p>
    <w:p>
      <w:pPr>
        <w:spacing w:line="276" w:lineRule="auto" w:after="60"/>
      </w:pPr>
      <w:r>
        <w:rPr>
          <w:rFonts w:ascii="Arial" w:hAnsi="Arial"/>
          <w:b w:val="0"/>
          <w:i w:val="0"/>
          <w:color w:val="000000"/>
          <w:sz w:val="20"/>
        </w:rPr>
        <w:t xml:space="preserve">25. Tsai, H. H. et al. Oligodendrocyte precursors migrate along vasculature in the developing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351,</w:t>
      </w:r>
      <w:r>
        <w:rPr>
          <w:rFonts w:ascii="Arial" w:hAnsi="Arial"/>
          <w:b w:val="0"/>
          <w:i w:val="0"/>
          <w:color w:val="000000"/>
          <w:sz w:val="20"/>
        </w:rPr>
        <w:t xml:space="preserve"> 379–384 (2016).</w:t>
      </w:r>
    </w:p>
    <w:p>
      <w:pPr>
        <w:spacing w:line="276" w:lineRule="auto" w:after="60"/>
      </w:pPr>
      <w:r>
        <w:rPr>
          <w:rFonts w:ascii="Arial" w:hAnsi="Arial"/>
          <w:b w:val="0"/>
          <w:i w:val="0"/>
          <w:color w:val="000000"/>
          <w:sz w:val="20"/>
        </w:rPr>
        <w:t xml:space="preserve">26. Su, Y. et al. Astrocyte endfoot formation controls the termination of oligodendrocyte precursor cell perivascular migration during development.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111,</w:t>
      </w:r>
      <w:r>
        <w:rPr>
          <w:rFonts w:ascii="Arial" w:hAnsi="Arial"/>
          <w:b w:val="0"/>
          <w:i w:val="0"/>
          <w:color w:val="000000"/>
          <w:sz w:val="20"/>
        </w:rPr>
        <w:t xml:space="preserve"> 190–201.e8 (2023).</w:t>
      </w:r>
    </w:p>
    <w:p>
      <w:pPr>
        <w:spacing w:line="276" w:lineRule="auto" w:after="60"/>
      </w:pPr>
      <w:r>
        <w:rPr>
          <w:rFonts w:ascii="Arial" w:hAnsi="Arial"/>
          <w:b w:val="0"/>
          <w:i w:val="0"/>
          <w:color w:val="000000"/>
          <w:sz w:val="20"/>
        </w:rPr>
        <w:t xml:space="preserve">27. Foerster, S. et al. Developmental origin of oligodendrocytes determines their function in the adult brain. </w:t>
      </w:r>
      <w:r>
        <w:rPr>
          <w:rFonts w:ascii="Arial" w:hAnsi="Arial"/>
          <w:b w:val="0"/>
          <w:i/>
          <w:color w:val="000000"/>
          <w:sz w:val="20"/>
        </w:rPr>
        <w:t>Nat. Neurosci.</w:t>
      </w:r>
      <w:r>
        <w:rPr>
          <w:rFonts w:ascii="Arial" w:hAnsi="Arial"/>
          <w:b w:val="0"/>
          <w:i w:val="0"/>
          <w:color w:val="000000"/>
          <w:sz w:val="20"/>
        </w:rPr>
        <w:t xml:space="preserve"> </w:t>
      </w:r>
      <w:r>
        <w:rPr>
          <w:rFonts w:ascii="Arial" w:hAnsi="Arial"/>
          <w:b/>
          <w:i w:val="0"/>
          <w:color w:val="000000"/>
          <w:sz w:val="20"/>
        </w:rPr>
        <w:t>27,</w:t>
      </w:r>
      <w:r>
        <w:rPr>
          <w:rFonts w:ascii="Arial" w:hAnsi="Arial"/>
          <w:b w:val="0"/>
          <w:i w:val="0"/>
          <w:color w:val="000000"/>
          <w:sz w:val="20"/>
        </w:rPr>
        <w:t xml:space="preserve"> 1545–1554 (2024).</w:t>
      </w:r>
    </w:p>
    <w:p>
      <w:pPr>
        <w:spacing w:line="276" w:lineRule="auto" w:after="60"/>
      </w:pPr>
      <w:r>
        <w:rPr>
          <w:rFonts w:ascii="Arial" w:hAnsi="Arial"/>
          <w:b w:val="0"/>
          <w:i w:val="0"/>
          <w:color w:val="000000"/>
          <w:sz w:val="20"/>
        </w:rPr>
        <w:t xml:space="preserve">28. Reeber, S. L., Arancillo, M. &amp; Sillitoe, R. V. Bergmann glia are patterned into topographic molecular zones in the developing and adult mouse cerebellum. </w:t>
      </w:r>
      <w:r>
        <w:rPr>
          <w:rFonts w:ascii="Arial" w:hAnsi="Arial"/>
          <w:b w:val="0"/>
          <w:i/>
          <w:color w:val="000000"/>
          <w:sz w:val="20"/>
        </w:rPr>
        <w:t>Cerebellum</w:t>
      </w:r>
      <w:r>
        <w:rPr>
          <w:rFonts w:ascii="Arial" w:hAnsi="Arial"/>
          <w:b w:val="0"/>
          <w:i w:val="0"/>
          <w:color w:val="000000"/>
          <w:sz w:val="20"/>
        </w:rPr>
        <w:t xml:space="preserve"> </w:t>
      </w:r>
      <w:r>
        <w:rPr>
          <w:rFonts w:ascii="Arial" w:hAnsi="Arial"/>
          <w:b/>
          <w:i w:val="0"/>
          <w:color w:val="000000"/>
          <w:sz w:val="20"/>
        </w:rPr>
        <w:t>17,</w:t>
      </w:r>
      <w:r>
        <w:rPr>
          <w:rFonts w:ascii="Arial" w:hAnsi="Arial"/>
          <w:b w:val="0"/>
          <w:i w:val="0"/>
          <w:color w:val="000000"/>
          <w:sz w:val="20"/>
        </w:rPr>
        <w:t xml:space="preserve"> 392–403 (2018).</w:t>
      </w:r>
    </w:p>
    <w:p>
      <w:pPr>
        <w:spacing w:line="276" w:lineRule="auto" w:after="60"/>
      </w:pPr>
      <w:r>
        <w:rPr>
          <w:rFonts w:ascii="Arial" w:hAnsi="Arial"/>
          <w:b w:val="0"/>
          <w:i w:val="0"/>
          <w:color w:val="000000"/>
          <w:sz w:val="20"/>
        </w:rPr>
        <w:t xml:space="preserve">29. Yang, L. et al. Single-cell multi-omics analysis of lineage development and spatial organization in the human fetal cerebellum. </w:t>
      </w:r>
      <w:r>
        <w:rPr>
          <w:rFonts w:ascii="Arial" w:hAnsi="Arial"/>
          <w:b w:val="0"/>
          <w:i/>
          <w:color w:val="000000"/>
          <w:sz w:val="20"/>
        </w:rPr>
        <w:t>Cell Discov.</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22 (2024).</w:t>
      </w:r>
    </w:p>
    <w:p>
      <w:pPr>
        <w:spacing w:line="276" w:lineRule="auto" w:after="60"/>
      </w:pPr>
      <w:r>
        <w:rPr>
          <w:rFonts w:ascii="Arial" w:hAnsi="Arial"/>
          <w:b w:val="0"/>
          <w:i w:val="0"/>
          <w:color w:val="000000"/>
          <w:sz w:val="20"/>
        </w:rPr>
        <w:t xml:space="preserve">30. Zhang, Y. et al. Astrocyte allocation during brain development is controlled by Tcf4-mediated fate restriction. </w:t>
      </w:r>
      <w:r>
        <w:rPr>
          <w:rFonts w:ascii="Arial" w:hAnsi="Arial"/>
          <w:b w:val="0"/>
          <w:i/>
          <w:color w:val="000000"/>
          <w:sz w:val="20"/>
        </w:rPr>
        <w:t>EMBO J.</w:t>
      </w:r>
      <w:r>
        <w:rPr>
          <w:rFonts w:ascii="Arial" w:hAnsi="Arial"/>
          <w:b w:val="0"/>
          <w:i w:val="0"/>
          <w:color w:val="000000"/>
          <w:sz w:val="20"/>
        </w:rPr>
        <w:t xml:space="preserve"> </w:t>
      </w:r>
      <w:r>
        <w:rPr>
          <w:rFonts w:ascii="Arial" w:hAnsi="Arial"/>
          <w:b/>
          <w:i w:val="0"/>
          <w:color w:val="000000"/>
          <w:sz w:val="20"/>
        </w:rPr>
        <w:t>43,</w:t>
      </w:r>
      <w:r>
        <w:rPr>
          <w:rFonts w:ascii="Arial" w:hAnsi="Arial"/>
          <w:b w:val="0"/>
          <w:i w:val="0"/>
          <w:color w:val="000000"/>
          <w:sz w:val="20"/>
        </w:rPr>
        <w:t xml:space="preserve"> 5114–5140 (2024).</w:t>
      </w:r>
    </w:p>
    <w:p>
      <w:pPr>
        <w:spacing w:line="276" w:lineRule="auto" w:after="60"/>
      </w:pPr>
      <w:r>
        <w:rPr>
          <w:rFonts w:ascii="Arial" w:hAnsi="Arial"/>
          <w:b w:val="0"/>
          <w:i w:val="0"/>
          <w:color w:val="000000"/>
          <w:sz w:val="20"/>
        </w:rPr>
        <w:t xml:space="preserve">31. Vandesompele, J. et al. Accurate normalization of real-time quantitative RT-PCR data by geometric averaging of multiple internal control genes.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3,</w:t>
      </w:r>
      <w:r>
        <w:rPr>
          <w:rFonts w:ascii="Arial" w:hAnsi="Arial"/>
          <w:b w:val="0"/>
          <w:i w:val="0"/>
          <w:color w:val="000000"/>
          <w:sz w:val="20"/>
        </w:rPr>
        <w:t xml:space="preserve"> RESEARCH0034 (2002).</w:t>
      </w:r>
    </w:p>
    <w:p>
      <w:pPr>
        <w:spacing w:line="276" w:lineRule="auto" w:after="60"/>
      </w:pPr>
      <w:r>
        <w:rPr>
          <w:rFonts w:ascii="Arial" w:hAnsi="Arial"/>
          <w:b w:val="0"/>
          <w:i w:val="0"/>
          <w:color w:val="000000"/>
          <w:sz w:val="20"/>
        </w:rPr>
        <w:t xml:space="preserve">32. Eisenberg, E. &amp; Levanon, E. Y. Human housekeeping genes, revisited. </w:t>
      </w:r>
      <w:r>
        <w:rPr>
          <w:rFonts w:ascii="Arial" w:hAnsi="Arial"/>
          <w:b w:val="0"/>
          <w:i/>
          <w:color w:val="000000"/>
          <w:sz w:val="20"/>
        </w:rPr>
        <w:t>Trends Genet.</w:t>
      </w:r>
      <w:r>
        <w:rPr>
          <w:rFonts w:ascii="Arial" w:hAnsi="Arial"/>
          <w:b w:val="0"/>
          <w:i w:val="0"/>
          <w:color w:val="000000"/>
          <w:sz w:val="20"/>
        </w:rPr>
        <w:t xml:space="preserve"> </w:t>
      </w:r>
      <w:r>
        <w:rPr>
          <w:rFonts w:ascii="Arial" w:hAnsi="Arial"/>
          <w:b/>
          <w:i w:val="0"/>
          <w:color w:val="000000"/>
          <w:sz w:val="20"/>
        </w:rPr>
        <w:t>29,</w:t>
      </w:r>
      <w:r>
        <w:rPr>
          <w:rFonts w:ascii="Arial" w:hAnsi="Arial"/>
          <w:b w:val="0"/>
          <w:i w:val="0"/>
          <w:color w:val="000000"/>
          <w:sz w:val="20"/>
        </w:rPr>
        <w:t xml:space="preserve"> 569–574 (2013).</w:t>
      </w:r>
    </w:p>
    <w:p>
      <w:pPr>
        <w:spacing w:line="276" w:lineRule="auto" w:after="60"/>
      </w:pPr>
      <w:r>
        <w:rPr>
          <w:rFonts w:ascii="Arial" w:hAnsi="Arial"/>
          <w:b w:val="0"/>
          <w:i w:val="0"/>
          <w:color w:val="000000"/>
          <w:sz w:val="20"/>
        </w:rPr>
        <w:t xml:space="preserve">33. Elowitz, M. B., Levine, A. J., Siggia, E. D. &amp; Swain, P. S. Stochastic gene expression in a single cell.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297,</w:t>
      </w:r>
      <w:r>
        <w:rPr>
          <w:rFonts w:ascii="Arial" w:hAnsi="Arial"/>
          <w:b w:val="0"/>
          <w:i w:val="0"/>
          <w:color w:val="000000"/>
          <w:sz w:val="20"/>
        </w:rPr>
        <w:t xml:space="preserve"> 1183–1186 (2002).</w:t>
      </w:r>
    </w:p>
    <w:p>
      <w:pPr>
        <w:spacing w:line="276" w:lineRule="auto" w:after="60"/>
      </w:pPr>
      <w:r>
        <w:rPr>
          <w:rFonts w:ascii="Arial" w:hAnsi="Arial"/>
          <w:b w:val="0"/>
          <w:i w:val="0"/>
          <w:color w:val="000000"/>
          <w:sz w:val="20"/>
        </w:rPr>
        <w:t xml:space="preserve">34. Newman, J. R. S. et al. Single-cell proteomic analysis of S. cerevisiae reveals the architecture of biological noise.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441,</w:t>
      </w:r>
      <w:r>
        <w:rPr>
          <w:rFonts w:ascii="Arial" w:hAnsi="Arial"/>
          <w:b w:val="0"/>
          <w:i w:val="0"/>
          <w:color w:val="000000"/>
          <w:sz w:val="20"/>
        </w:rPr>
        <w:t xml:space="preserve"> 840–846 (2006).</w:t>
      </w:r>
    </w:p>
    <w:p>
      <w:pPr>
        <w:spacing w:line="276" w:lineRule="auto" w:after="60"/>
      </w:pPr>
      <w:r>
        <w:rPr>
          <w:rFonts w:ascii="Arial" w:hAnsi="Arial"/>
          <w:b w:val="0"/>
          <w:i w:val="0"/>
          <w:color w:val="000000"/>
          <w:sz w:val="20"/>
        </w:rPr>
        <w:t xml:space="preserve">35. Raj, A. &amp; van Oudenaarden, A. Nature, nurture, or chance: stochastic gene expression variation and its consequences on individual cellular fitness.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135,</w:t>
      </w:r>
      <w:r>
        <w:rPr>
          <w:rFonts w:ascii="Arial" w:hAnsi="Arial"/>
          <w:b w:val="0"/>
          <w:i w:val="0"/>
          <w:color w:val="000000"/>
          <w:sz w:val="20"/>
        </w:rPr>
        <w:t xml:space="preserve"> 216–226 (2008).</w:t>
      </w:r>
    </w:p>
    <w:p>
      <w:pPr>
        <w:spacing w:line="276" w:lineRule="auto" w:after="60"/>
      </w:pPr>
      <w:r>
        <w:rPr>
          <w:rFonts w:ascii="Arial" w:hAnsi="Arial"/>
          <w:b w:val="0"/>
          <w:i w:val="0"/>
          <w:color w:val="000000"/>
          <w:sz w:val="20"/>
        </w:rPr>
        <w:t xml:space="preserve">36. Tarashansky, A. J. et al. Mapping single-cell atlases throughout Metazoa unravels cell type evolution. </w:t>
      </w:r>
      <w:r>
        <w:rPr>
          <w:rFonts w:ascii="Arial" w:hAnsi="Arial"/>
          <w:b w:val="0"/>
          <w:i/>
          <w:color w:val="000000"/>
          <w:sz w:val="20"/>
        </w:rPr>
        <w:t>eLife</w:t>
      </w:r>
      <w:r>
        <w:rPr>
          <w:rFonts w:ascii="Arial" w:hAnsi="Arial"/>
          <w:b w:val="0"/>
          <w:i w:val="0"/>
          <w:color w:val="000000"/>
          <w:sz w:val="20"/>
        </w:rPr>
        <w:t xml:space="preserve"> </w:t>
      </w:r>
      <w:r>
        <w:rPr>
          <w:rFonts w:ascii="Arial" w:hAnsi="Arial"/>
          <w:b/>
          <w:i w:val="0"/>
          <w:color w:val="000000"/>
          <w:sz w:val="20"/>
        </w:rPr>
        <w:t>10,</w:t>
      </w:r>
      <w:r>
        <w:rPr>
          <w:rFonts w:ascii="Arial" w:hAnsi="Arial"/>
          <w:b w:val="0"/>
          <w:i w:val="0"/>
          <w:color w:val="000000"/>
          <w:sz w:val="20"/>
        </w:rPr>
        <w:t xml:space="preserve"> e66747 (2021).</w:t>
      </w:r>
    </w:p>
    <w:p>
      <w:pPr>
        <w:spacing w:line="276" w:lineRule="auto" w:after="60"/>
      </w:pPr>
      <w:r>
        <w:rPr>
          <w:rFonts w:ascii="Arial" w:hAnsi="Arial"/>
          <w:b w:val="0"/>
          <w:i w:val="0"/>
          <w:color w:val="000000"/>
          <w:sz w:val="20"/>
        </w:rPr>
        <w:t xml:space="preserve">37. Jiang, J. et al. CACIMAR: cross-species analysis of cell identities, markers, regulations, and interactions. </w:t>
      </w:r>
      <w:r>
        <w:rPr>
          <w:rFonts w:ascii="Arial" w:hAnsi="Arial"/>
          <w:b w:val="0"/>
          <w:i/>
          <w:color w:val="000000"/>
          <w:sz w:val="20"/>
        </w:rPr>
        <w:t>Brief. Bioinform.</w:t>
      </w:r>
      <w:r>
        <w:rPr>
          <w:rFonts w:ascii="Arial" w:hAnsi="Arial"/>
          <w:b w:val="0"/>
          <w:i w:val="0"/>
          <w:color w:val="000000"/>
          <w:sz w:val="20"/>
        </w:rPr>
        <w:t xml:space="preserve"> </w:t>
      </w:r>
      <w:r>
        <w:rPr>
          <w:rFonts w:ascii="Arial" w:hAnsi="Arial"/>
          <w:b/>
          <w:i w:val="0"/>
          <w:color w:val="000000"/>
          <w:sz w:val="20"/>
        </w:rPr>
        <w:t>25,</w:t>
      </w:r>
      <w:r>
        <w:rPr>
          <w:rFonts w:ascii="Arial" w:hAnsi="Arial"/>
          <w:b w:val="0"/>
          <w:i w:val="0"/>
          <w:color w:val="000000"/>
          <w:sz w:val="20"/>
        </w:rPr>
        <w:t xml:space="preserve"> bbae283 (2024).</w:t>
      </w:r>
    </w:p>
    <w:p>
      <w:pPr>
        <w:spacing w:line="276" w:lineRule="auto" w:after="60"/>
      </w:pPr>
      <w:r>
        <w:rPr>
          <w:rFonts w:ascii="Arial" w:hAnsi="Arial"/>
          <w:b w:val="0"/>
          <w:i w:val="0"/>
          <w:color w:val="000000"/>
          <w:sz w:val="20"/>
        </w:rPr>
        <w:t xml:space="preserve">38. Skinnider, M. A. et al. Cell type prioritization in single-cell data.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39,</w:t>
      </w:r>
      <w:r>
        <w:rPr>
          <w:rFonts w:ascii="Arial" w:hAnsi="Arial"/>
          <w:b w:val="0"/>
          <w:i w:val="0"/>
          <w:color w:val="000000"/>
          <w:sz w:val="20"/>
        </w:rPr>
        <w:t xml:space="preserve"> 30–34 (2021).</w:t>
      </w:r>
    </w:p>
    <w:p>
      <w:pPr>
        <w:spacing w:line="276" w:lineRule="auto" w:after="60"/>
      </w:pPr>
      <w:r>
        <w:rPr>
          <w:rFonts w:ascii="Arial" w:hAnsi="Arial"/>
          <w:b w:val="0"/>
          <w:i w:val="0"/>
          <w:color w:val="000000"/>
          <w:sz w:val="20"/>
        </w:rPr>
        <w:t xml:space="preserve">39. Waxman, S. &amp; Wurmbach, E. De-regulation of common housekeeping genes in hepatocellular carcinoma. </w:t>
      </w:r>
      <w:r>
        <w:rPr>
          <w:rFonts w:ascii="Arial" w:hAnsi="Arial"/>
          <w:b w:val="0"/>
          <w:i/>
          <w:color w:val="000000"/>
          <w:sz w:val="20"/>
        </w:rPr>
        <w:t>BMC Genomics</w:t>
      </w:r>
      <w:r>
        <w:rPr>
          <w:rFonts w:ascii="Arial" w:hAnsi="Arial"/>
          <w:b w:val="0"/>
          <w:i w:val="0"/>
          <w:color w:val="000000"/>
          <w:sz w:val="20"/>
        </w:rPr>
        <w:t xml:space="preserve"> </w:t>
      </w:r>
      <w:r>
        <w:rPr>
          <w:rFonts w:ascii="Arial" w:hAnsi="Arial"/>
          <w:b/>
          <w:i w:val="0"/>
          <w:color w:val="000000"/>
          <w:sz w:val="20"/>
        </w:rPr>
        <w:t>8,</w:t>
      </w:r>
      <w:r>
        <w:rPr>
          <w:rFonts w:ascii="Arial" w:hAnsi="Arial"/>
          <w:b w:val="0"/>
          <w:i w:val="0"/>
          <w:color w:val="000000"/>
          <w:sz w:val="20"/>
        </w:rPr>
        <w:t xml:space="preserve"> 243 (2007).</w:t>
      </w:r>
    </w:p>
    <w:p>
      <w:pPr>
        <w:spacing w:line="276" w:lineRule="auto" w:after="60"/>
      </w:pPr>
      <w:r>
        <w:rPr>
          <w:rFonts w:ascii="Arial" w:hAnsi="Arial"/>
          <w:b w:val="0"/>
          <w:i w:val="0"/>
          <w:color w:val="000000"/>
          <w:sz w:val="20"/>
        </w:rPr>
        <w:t xml:space="preserve">40. Bakken, T. E. et al. Comparative cellular analysis of motor cortex in human, marmoset and mouse. </w:t>
      </w:r>
      <w:r>
        <w:rPr>
          <w:rFonts w:ascii="Arial" w:hAnsi="Arial"/>
          <w:b w:val="0"/>
          <w:i/>
          <w:color w:val="000000"/>
          <w:sz w:val="20"/>
        </w:rPr>
        <w:t>Nature</w:t>
      </w:r>
      <w:r>
        <w:rPr>
          <w:rFonts w:ascii="Arial" w:hAnsi="Arial"/>
          <w:b w:val="0"/>
          <w:i w:val="0"/>
          <w:color w:val="000000"/>
          <w:sz w:val="20"/>
        </w:rPr>
        <w:t xml:space="preserve"> </w:t>
      </w:r>
      <w:r>
        <w:rPr>
          <w:rFonts w:ascii="Arial" w:hAnsi="Arial"/>
          <w:b/>
          <w:i w:val="0"/>
          <w:color w:val="000000"/>
          <w:sz w:val="20"/>
        </w:rPr>
        <w:t>598,</w:t>
      </w:r>
      <w:r>
        <w:rPr>
          <w:rFonts w:ascii="Arial" w:hAnsi="Arial"/>
          <w:b w:val="0"/>
          <w:i w:val="0"/>
          <w:color w:val="000000"/>
          <w:sz w:val="20"/>
        </w:rPr>
        <w:t xml:space="preserve"> 111–119 (2021).</w:t>
      </w:r>
    </w:p>
    <w:p>
      <w:pPr>
        <w:spacing w:line="276" w:lineRule="auto" w:after="60"/>
      </w:pPr>
      <w:r>
        <w:rPr>
          <w:rFonts w:ascii="Arial" w:hAnsi="Arial"/>
          <w:b w:val="0"/>
          <w:i w:val="0"/>
          <w:color w:val="000000"/>
          <w:sz w:val="20"/>
        </w:rPr>
        <w:t xml:space="preserve">41. Marques, S. et al. Oligodendrocyte heterogeneity in the mouse juvenile and adult central nervous system. </w:t>
      </w:r>
      <w:r>
        <w:rPr>
          <w:rFonts w:ascii="Arial" w:hAnsi="Arial"/>
          <w:b w:val="0"/>
          <w:i/>
          <w:color w:val="000000"/>
          <w:sz w:val="20"/>
        </w:rPr>
        <w:t>Science</w:t>
      </w:r>
      <w:r>
        <w:rPr>
          <w:rFonts w:ascii="Arial" w:hAnsi="Arial"/>
          <w:b w:val="0"/>
          <w:i w:val="0"/>
          <w:color w:val="000000"/>
          <w:sz w:val="20"/>
        </w:rPr>
        <w:t xml:space="preserve"> </w:t>
      </w:r>
      <w:r>
        <w:rPr>
          <w:rFonts w:ascii="Arial" w:hAnsi="Arial"/>
          <w:b/>
          <w:i w:val="0"/>
          <w:color w:val="000000"/>
          <w:sz w:val="20"/>
        </w:rPr>
        <w:t>352,</w:t>
      </w:r>
      <w:r>
        <w:rPr>
          <w:rFonts w:ascii="Arial" w:hAnsi="Arial"/>
          <w:b w:val="0"/>
          <w:i w:val="0"/>
          <w:color w:val="000000"/>
          <w:sz w:val="20"/>
        </w:rPr>
        <w:t xml:space="preserve"> 1326–1329 (2016).</w:t>
      </w:r>
    </w:p>
    <w:p>
      <w:pPr>
        <w:spacing w:line="276" w:lineRule="auto" w:after="60"/>
      </w:pPr>
      <w:r>
        <w:rPr>
          <w:rFonts w:ascii="Arial" w:hAnsi="Arial"/>
          <w:b w:val="0"/>
          <w:i w:val="0"/>
          <w:color w:val="000000"/>
          <w:sz w:val="20"/>
        </w:rPr>
        <w:t xml:space="preserve">42. Spitzer, S. O. et al. Oligodendrocyte progenitor cells become regionally diverse and heterogeneous with age. </w:t>
      </w:r>
      <w:r>
        <w:rPr>
          <w:rFonts w:ascii="Arial" w:hAnsi="Arial"/>
          <w:b w:val="0"/>
          <w:i/>
          <w:color w:val="000000"/>
          <w:sz w:val="20"/>
        </w:rPr>
        <w:t>Neuron</w:t>
      </w:r>
      <w:r>
        <w:rPr>
          <w:rFonts w:ascii="Arial" w:hAnsi="Arial"/>
          <w:b w:val="0"/>
          <w:i w:val="0"/>
          <w:color w:val="000000"/>
          <w:sz w:val="20"/>
        </w:rPr>
        <w:t xml:space="preserve"> </w:t>
      </w:r>
      <w:r>
        <w:rPr>
          <w:rFonts w:ascii="Arial" w:hAnsi="Arial"/>
          <w:b/>
          <w:i w:val="0"/>
          <w:color w:val="000000"/>
          <w:sz w:val="20"/>
        </w:rPr>
        <w:t>101,</w:t>
      </w:r>
      <w:r>
        <w:rPr>
          <w:rFonts w:ascii="Arial" w:hAnsi="Arial"/>
          <w:b w:val="0"/>
          <w:i w:val="0"/>
          <w:color w:val="000000"/>
          <w:sz w:val="20"/>
        </w:rPr>
        <w:t xml:space="preserve"> 459–471.e5 (2019).</w:t>
      </w:r>
    </w:p>
    <w:p>
      <w:pPr>
        <w:spacing w:line="276" w:lineRule="auto" w:after="60"/>
      </w:pPr>
      <w:r>
        <w:rPr>
          <w:rFonts w:ascii="Arial" w:hAnsi="Arial"/>
          <w:b w:val="0"/>
          <w:i w:val="0"/>
          <w:color w:val="000000"/>
          <w:sz w:val="20"/>
        </w:rPr>
        <w:t xml:space="preserve">43. Luecken, M. D. &amp; Theis, F. J. Current best practices in single-cell RNA-seq analysis: a tutorial. </w:t>
      </w:r>
      <w:r>
        <w:rPr>
          <w:rFonts w:ascii="Arial" w:hAnsi="Arial"/>
          <w:b w:val="0"/>
          <w:i/>
          <w:color w:val="000000"/>
          <w:sz w:val="20"/>
        </w:rPr>
        <w:t>Mol. Syst. Biol.</w:t>
      </w:r>
      <w:r>
        <w:rPr>
          <w:rFonts w:ascii="Arial" w:hAnsi="Arial"/>
          <w:b w:val="0"/>
          <w:i w:val="0"/>
          <w:color w:val="000000"/>
          <w:sz w:val="20"/>
        </w:rPr>
        <w:t xml:space="preserve"> </w:t>
      </w:r>
      <w:r>
        <w:rPr>
          <w:rFonts w:ascii="Arial" w:hAnsi="Arial"/>
          <w:b/>
          <w:i w:val="0"/>
          <w:color w:val="000000"/>
          <w:sz w:val="20"/>
        </w:rPr>
        <w:t>15,</w:t>
      </w:r>
      <w:r>
        <w:rPr>
          <w:rFonts w:ascii="Arial" w:hAnsi="Arial"/>
          <w:b w:val="0"/>
          <w:i w:val="0"/>
          <w:color w:val="000000"/>
          <w:sz w:val="20"/>
        </w:rPr>
        <w:t xml:space="preserve"> e8746 (2019).</w:t>
      </w:r>
    </w:p>
    <w:p>
      <w:pPr>
        <w:spacing w:line="276" w:lineRule="auto" w:after="60"/>
      </w:pPr>
      <w:r>
        <w:rPr>
          <w:rFonts w:ascii="Arial" w:hAnsi="Arial"/>
          <w:b w:val="0"/>
          <w:i w:val="0"/>
          <w:color w:val="000000"/>
          <w:sz w:val="20"/>
        </w:rPr>
        <w:t xml:space="preserve">44. Lin, J. Divergence measures based on the Shannon entropy. </w:t>
      </w:r>
      <w:r>
        <w:rPr>
          <w:rFonts w:ascii="Arial" w:hAnsi="Arial"/>
          <w:b w:val="0"/>
          <w:i/>
          <w:color w:val="000000"/>
          <w:sz w:val="20"/>
        </w:rPr>
        <w:t>IEEE Trans. Inf. Theory</w:t>
      </w:r>
      <w:r>
        <w:rPr>
          <w:rFonts w:ascii="Arial" w:hAnsi="Arial"/>
          <w:b w:val="0"/>
          <w:i w:val="0"/>
          <w:color w:val="000000"/>
          <w:sz w:val="20"/>
        </w:rPr>
        <w:t xml:space="preserve"> </w:t>
      </w:r>
      <w:r>
        <w:rPr>
          <w:rFonts w:ascii="Arial" w:hAnsi="Arial"/>
          <w:b/>
          <w:i w:val="0"/>
          <w:color w:val="000000"/>
          <w:sz w:val="20"/>
        </w:rPr>
        <w:t>37,</w:t>
      </w:r>
      <w:r>
        <w:rPr>
          <w:rFonts w:ascii="Arial" w:hAnsi="Arial"/>
          <w:b w:val="0"/>
          <w:i w:val="0"/>
          <w:color w:val="000000"/>
          <w:sz w:val="20"/>
        </w:rPr>
        <w:t xml:space="preserve"> 145–151 (1991).</w:t>
      </w:r>
    </w:p>
    <w:p>
      <w:pPr>
        <w:spacing w:line="276" w:lineRule="auto" w:after="60"/>
      </w:pPr>
      <w:r>
        <w:rPr>
          <w:rFonts w:ascii="Arial" w:hAnsi="Arial"/>
          <w:b w:val="0"/>
          <w:i w:val="0"/>
          <w:color w:val="000000"/>
          <w:sz w:val="20"/>
        </w:rPr>
        <w:t xml:space="preserve">45. Benjamini, Y. &amp; Hochberg, Y. Controlling the false discovery rate: a practical and powerful approach to multiple testing. </w:t>
      </w:r>
      <w:r>
        <w:rPr>
          <w:rFonts w:ascii="Arial" w:hAnsi="Arial"/>
          <w:b w:val="0"/>
          <w:i/>
          <w:color w:val="000000"/>
          <w:sz w:val="20"/>
        </w:rPr>
        <w:t>J. R. Stat. Soc. Series B Stat. Methodol.</w:t>
      </w:r>
      <w:r>
        <w:rPr>
          <w:rFonts w:ascii="Arial" w:hAnsi="Arial"/>
          <w:b w:val="0"/>
          <w:i w:val="0"/>
          <w:color w:val="000000"/>
          <w:sz w:val="20"/>
        </w:rPr>
        <w:t xml:space="preserve"> </w:t>
      </w:r>
      <w:r>
        <w:rPr>
          <w:rFonts w:ascii="Arial" w:hAnsi="Arial"/>
          <w:b/>
          <w:i w:val="0"/>
          <w:color w:val="000000"/>
          <w:sz w:val="20"/>
        </w:rPr>
        <w:t>57,</w:t>
      </w:r>
      <w:r>
        <w:rPr>
          <w:rFonts w:ascii="Arial" w:hAnsi="Arial"/>
          <w:b w:val="0"/>
          <w:i w:val="0"/>
          <w:color w:val="000000"/>
          <w:sz w:val="20"/>
        </w:rPr>
        <w:t xml:space="preserve"> 289–300 (1995).</w:t>
      </w:r>
    </w:p>
    <w:p>
      <w:pPr>
        <w:spacing w:line="276" w:lineRule="auto" w:after="60"/>
      </w:pPr>
      <w:r>
        <w:rPr>
          <w:rFonts w:ascii="Arial" w:hAnsi="Arial"/>
          <w:b w:val="0"/>
          <w:i w:val="0"/>
          <w:color w:val="000000"/>
          <w:sz w:val="20"/>
        </w:rPr>
        <w:t xml:space="preserve">46. Wolf, F. A., Angerer, P. &amp; Theis, F. J. SCANPY: large-scale single-cell gene expression data analysis. </w:t>
      </w:r>
      <w:r>
        <w:rPr>
          <w:rFonts w:ascii="Arial" w:hAnsi="Arial"/>
          <w:b w:val="0"/>
          <w:i/>
          <w:color w:val="000000"/>
          <w:sz w:val="20"/>
        </w:rPr>
        <w:t>Genome Biol.</w:t>
      </w:r>
      <w:r>
        <w:rPr>
          <w:rFonts w:ascii="Arial" w:hAnsi="Arial"/>
          <w:b w:val="0"/>
          <w:i w:val="0"/>
          <w:color w:val="000000"/>
          <w:sz w:val="20"/>
        </w:rPr>
        <w:t xml:space="preserve"> </w:t>
      </w:r>
      <w:r>
        <w:rPr>
          <w:rFonts w:ascii="Arial" w:hAnsi="Arial"/>
          <w:b/>
          <w:i w:val="0"/>
          <w:color w:val="000000"/>
          <w:sz w:val="20"/>
        </w:rPr>
        <w:t>19,</w:t>
      </w:r>
      <w:r>
        <w:rPr>
          <w:rFonts w:ascii="Arial" w:hAnsi="Arial"/>
          <w:b w:val="0"/>
          <w:i w:val="0"/>
          <w:color w:val="000000"/>
          <w:sz w:val="20"/>
        </w:rPr>
        <w:t xml:space="preserve"> 15 (2018).</w:t>
      </w:r>
    </w:p>
    <w:p>
      <w:pPr>
        <w:spacing w:line="276" w:lineRule="auto" w:after="60"/>
      </w:pPr>
      <w:r>
        <w:rPr>
          <w:rFonts w:ascii="Arial" w:hAnsi="Arial"/>
          <w:b w:val="0"/>
          <w:i w:val="0"/>
          <w:color w:val="000000"/>
          <w:sz w:val="20"/>
        </w:rPr>
        <w:t xml:space="preserve">47. Hao, Y. et al. Integrated analysis of multimodal single-cell data. </w:t>
      </w:r>
      <w:r>
        <w:rPr>
          <w:rFonts w:ascii="Arial" w:hAnsi="Arial"/>
          <w:b w:val="0"/>
          <w:i/>
          <w:color w:val="000000"/>
          <w:sz w:val="20"/>
        </w:rPr>
        <w:t>Cell</w:t>
      </w:r>
      <w:r>
        <w:rPr>
          <w:rFonts w:ascii="Arial" w:hAnsi="Arial"/>
          <w:b w:val="0"/>
          <w:i w:val="0"/>
          <w:color w:val="000000"/>
          <w:sz w:val="20"/>
        </w:rPr>
        <w:t xml:space="preserve"> </w:t>
      </w:r>
      <w:r>
        <w:rPr>
          <w:rFonts w:ascii="Arial" w:hAnsi="Arial"/>
          <w:b/>
          <w:i w:val="0"/>
          <w:color w:val="000000"/>
          <w:sz w:val="20"/>
        </w:rPr>
        <w:t>184,</w:t>
      </w:r>
      <w:r>
        <w:rPr>
          <w:rFonts w:ascii="Arial" w:hAnsi="Arial"/>
          <w:b w:val="0"/>
          <w:i w:val="0"/>
          <w:color w:val="000000"/>
          <w:sz w:val="20"/>
        </w:rPr>
        <w:t xml:space="preserve"> 3573–3587 (2021).</w:t>
      </w:r>
    </w:p>
    <w:p>
      <w:pPr>
        <w:spacing w:line="276" w:lineRule="auto" w:after="60"/>
      </w:pPr>
      <w:r>
        <w:rPr>
          <w:rFonts w:ascii="Arial" w:hAnsi="Arial"/>
          <w:b w:val="0"/>
          <w:i w:val="0"/>
          <w:color w:val="000000"/>
          <w:sz w:val="20"/>
        </w:rPr>
        <w:t xml:space="preserve">48. Hao, Y. et al. Dictionary learning for integrative, multimodal and scalable single-cell analysis. </w:t>
      </w:r>
      <w:r>
        <w:rPr>
          <w:rFonts w:ascii="Arial" w:hAnsi="Arial"/>
          <w:b w:val="0"/>
          <w:i/>
          <w:color w:val="000000"/>
          <w:sz w:val="20"/>
        </w:rPr>
        <w:t>Nat. Biotechnol.</w:t>
      </w:r>
      <w:r>
        <w:rPr>
          <w:rFonts w:ascii="Arial" w:hAnsi="Arial"/>
          <w:b w:val="0"/>
          <w:i w:val="0"/>
          <w:color w:val="000000"/>
          <w:sz w:val="20"/>
        </w:rPr>
        <w:t xml:space="preserve"> </w:t>
      </w:r>
      <w:r>
        <w:rPr>
          <w:rFonts w:ascii="Arial" w:hAnsi="Arial"/>
          <w:b/>
          <w:i w:val="0"/>
          <w:color w:val="000000"/>
          <w:sz w:val="20"/>
        </w:rPr>
        <w:t>42,</w:t>
      </w:r>
      <w:r>
        <w:rPr>
          <w:rFonts w:ascii="Arial" w:hAnsi="Arial"/>
          <w:b w:val="0"/>
          <w:i w:val="0"/>
          <w:color w:val="000000"/>
          <w:sz w:val="20"/>
        </w:rPr>
        <w:t xml:space="preserve"> 293–304 (2024).</w:t>
      </w:r>
    </w:p>
    <w:p>
      <w:pPr>
        <w:spacing w:line="276" w:lineRule="auto" w:after="60"/>
      </w:pPr>
      <w:r>
        <w:rPr>
          <w:rFonts w:ascii="Arial" w:hAnsi="Arial"/>
          <w:b w:val="0"/>
          <w:i w:val="0"/>
          <w:color w:val="000000"/>
          <w:sz w:val="20"/>
        </w:rPr>
        <w:t xml:space="preserve">49. Weinstein, J. N. et al. The Cancer Genome Atlas Pan-Cancer analysis project. </w:t>
      </w:r>
      <w:r>
        <w:rPr>
          <w:rFonts w:ascii="Arial" w:hAnsi="Arial"/>
          <w:b w:val="0"/>
          <w:i/>
          <w:color w:val="000000"/>
          <w:sz w:val="20"/>
        </w:rPr>
        <w:t>Nat. Genet.</w:t>
      </w:r>
      <w:r>
        <w:rPr>
          <w:rFonts w:ascii="Arial" w:hAnsi="Arial"/>
          <w:b w:val="0"/>
          <w:i w:val="0"/>
          <w:color w:val="000000"/>
          <w:sz w:val="20"/>
        </w:rPr>
        <w:t xml:space="preserve"> </w:t>
      </w:r>
      <w:r>
        <w:rPr>
          <w:rFonts w:ascii="Arial" w:hAnsi="Arial"/>
          <w:b/>
          <w:i w:val="0"/>
          <w:color w:val="000000"/>
          <w:sz w:val="20"/>
        </w:rPr>
        <w:t>45,</w:t>
      </w:r>
      <w:r>
        <w:rPr>
          <w:rFonts w:ascii="Arial" w:hAnsi="Arial"/>
          <w:b w:val="0"/>
          <w:i w:val="0"/>
          <w:color w:val="000000"/>
          <w:sz w:val="20"/>
        </w:rPr>
        <w:t xml:space="preserve"> 1113–1120 (2013).</w:t>
      </w:r>
    </w:p>
    <w:p>
      <w:pPr>
        <w:spacing w:line="276" w:lineRule="auto" w:after="60"/>
      </w:pPr>
      <w:r>
        <w:rPr>
          <w:rFonts w:ascii="Arial" w:hAnsi="Arial"/>
          <w:b w:val="0"/>
          <w:i w:val="0"/>
          <w:color w:val="000000"/>
          <w:sz w:val="20"/>
        </w:rPr>
        <w:t xml:space="preserve">50. Colaprico, A. et al. TCGAbiolinks: an R/Bioconductor package for integrative analysis of TCGA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44,</w:t>
      </w:r>
      <w:r>
        <w:rPr>
          <w:rFonts w:ascii="Arial" w:hAnsi="Arial"/>
          <w:b w:val="0"/>
          <w:i w:val="0"/>
          <w:color w:val="000000"/>
          <w:sz w:val="20"/>
        </w:rPr>
        <w:t xml:space="preserve"> e71 (2016).</w:t>
      </w:r>
    </w:p>
    <w:p>
      <w:pPr>
        <w:spacing w:line="276" w:lineRule="auto" w:after="60"/>
      </w:pPr>
      <w:r>
        <w:rPr>
          <w:rFonts w:ascii="Arial" w:hAnsi="Arial"/>
          <w:b w:val="0"/>
          <w:i w:val="0"/>
          <w:color w:val="000000"/>
          <w:sz w:val="20"/>
        </w:rPr>
        <w:t xml:space="preserve">51. Cerami, E. et al. The cBio cancer genomics portal: an open platform for exploring multidimensional cancer genomics data. </w:t>
      </w:r>
      <w:r>
        <w:rPr>
          <w:rFonts w:ascii="Arial" w:hAnsi="Arial"/>
          <w:b w:val="0"/>
          <w:i/>
          <w:color w:val="000000"/>
          <w:sz w:val="20"/>
        </w:rPr>
        <w:t>Cancer Discov.</w:t>
      </w:r>
      <w:r>
        <w:rPr>
          <w:rFonts w:ascii="Arial" w:hAnsi="Arial"/>
          <w:b w:val="0"/>
          <w:i w:val="0"/>
          <w:color w:val="000000"/>
          <w:sz w:val="20"/>
        </w:rPr>
        <w:t xml:space="preserve"> </w:t>
      </w:r>
      <w:r>
        <w:rPr>
          <w:rFonts w:ascii="Arial" w:hAnsi="Arial"/>
          <w:b/>
          <w:i w:val="0"/>
          <w:color w:val="000000"/>
          <w:sz w:val="20"/>
        </w:rPr>
        <w:t>2,</w:t>
      </w:r>
      <w:r>
        <w:rPr>
          <w:rFonts w:ascii="Arial" w:hAnsi="Arial"/>
          <w:b w:val="0"/>
          <w:i w:val="0"/>
          <w:color w:val="000000"/>
          <w:sz w:val="20"/>
        </w:rPr>
        <w:t xml:space="preserve"> 401–404 (2012).</w:t>
      </w:r>
    </w:p>
    <w:p>
      <w:pPr>
        <w:spacing w:line="276" w:lineRule="auto" w:after="60"/>
      </w:pPr>
      <w:r>
        <w:rPr>
          <w:rFonts w:ascii="Arial" w:hAnsi="Arial"/>
          <w:b w:val="0"/>
          <w:i w:val="0"/>
          <w:color w:val="000000"/>
          <w:sz w:val="20"/>
        </w:rPr>
        <w:t xml:space="preserve">52. Waskom, M. L. seaborn: statistical data visualization. </w:t>
      </w:r>
      <w:r>
        <w:rPr>
          <w:rFonts w:ascii="Arial" w:hAnsi="Arial"/>
          <w:b w:val="0"/>
          <w:i/>
          <w:color w:val="000000"/>
          <w:sz w:val="20"/>
        </w:rPr>
        <w:t>J. Open Source Softw.</w:t>
      </w:r>
      <w:r>
        <w:rPr>
          <w:rFonts w:ascii="Arial" w:hAnsi="Arial"/>
          <w:b w:val="0"/>
          <w:i w:val="0"/>
          <w:color w:val="000000"/>
          <w:sz w:val="20"/>
        </w:rPr>
        <w:t xml:space="preserve"> </w:t>
      </w:r>
      <w:r>
        <w:rPr>
          <w:rFonts w:ascii="Arial" w:hAnsi="Arial"/>
          <w:b/>
          <w:i w:val="0"/>
          <w:color w:val="000000"/>
          <w:sz w:val="20"/>
        </w:rPr>
        <w:t>6,</w:t>
      </w:r>
      <w:r>
        <w:rPr>
          <w:rFonts w:ascii="Arial" w:hAnsi="Arial"/>
          <w:b w:val="0"/>
          <w:i w:val="0"/>
          <w:color w:val="000000"/>
          <w:sz w:val="20"/>
        </w:rPr>
        <w:t xml:space="preserve"> 3021 (2021).</w:t>
      </w:r>
    </w:p>
    <w:p>
      <w:pPr>
        <w:spacing w:line="276" w:lineRule="auto" w:after="60"/>
      </w:pPr>
      <w:r>
        <w:rPr>
          <w:rFonts w:ascii="Arial" w:hAnsi="Arial"/>
          <w:b w:val="0"/>
          <w:i w:val="0"/>
          <w:color w:val="000000"/>
          <w:sz w:val="20"/>
        </w:rPr>
        <w:t xml:space="preserve">53. Pedregosa, F. et al. Scikit-learn: machine learning in Python. </w:t>
      </w:r>
      <w:r>
        <w:rPr>
          <w:rFonts w:ascii="Arial" w:hAnsi="Arial"/>
          <w:b w:val="0"/>
          <w:i/>
          <w:color w:val="000000"/>
          <w:sz w:val="20"/>
        </w:rPr>
        <w:t>J. Mach. Learn. Res.</w:t>
      </w:r>
      <w:r>
        <w:rPr>
          <w:rFonts w:ascii="Arial" w:hAnsi="Arial"/>
          <w:b w:val="0"/>
          <w:i w:val="0"/>
          <w:color w:val="000000"/>
          <w:sz w:val="20"/>
        </w:rPr>
        <w:t xml:space="preserve"> </w:t>
      </w:r>
      <w:r>
        <w:rPr>
          <w:rFonts w:ascii="Arial" w:hAnsi="Arial"/>
          <w:b/>
          <w:i w:val="0"/>
          <w:color w:val="000000"/>
          <w:sz w:val="20"/>
        </w:rPr>
        <w:t>12,</w:t>
      </w:r>
      <w:r>
        <w:rPr>
          <w:rFonts w:ascii="Arial" w:hAnsi="Arial"/>
          <w:b w:val="0"/>
          <w:i w:val="0"/>
          <w:color w:val="000000"/>
          <w:sz w:val="20"/>
        </w:rPr>
        <w:t xml:space="preserve"> 2825–2830 (2011).</w:t>
      </w:r>
    </w:p>
    <w:p>
      <w:pPr>
        <w:spacing w:line="276" w:lineRule="auto" w:after="60"/>
      </w:pPr>
      <w:r>
        <w:rPr>
          <w:rFonts w:ascii="Arial" w:hAnsi="Arial"/>
          <w:b w:val="0"/>
          <w:i w:val="0"/>
          <w:color w:val="000000"/>
          <w:sz w:val="20"/>
        </w:rPr>
        <w:t>54. Efron, B. &amp; Tibshirani, R. J. An Introduction to the Bootstrap (Chapman and Hall/CRC, 1994).</w:t>
      </w:r>
    </w:p>
    <w:p>
      <w:pPr>
        <w:spacing w:line="276" w:lineRule="auto" w:after="60"/>
      </w:pPr>
      <w:r>
        <w:rPr>
          <w:rFonts w:ascii="Arial" w:hAnsi="Arial"/>
          <w:b w:val="0"/>
          <w:i w:val="0"/>
          <w:color w:val="000000"/>
          <w:sz w:val="20"/>
        </w:rPr>
        <w:t xml:space="preserve">55. CZI Cell Science Program. CZ CELLxGENE Discover: a single-cell data platform for scalable exploration, analysis and modeling of aggregated data. </w:t>
      </w:r>
      <w:r>
        <w:rPr>
          <w:rFonts w:ascii="Arial" w:hAnsi="Arial"/>
          <w:b w:val="0"/>
          <w:i/>
          <w:color w:val="000000"/>
          <w:sz w:val="20"/>
        </w:rPr>
        <w:t>Nucleic Acids Res.</w:t>
      </w:r>
      <w:r>
        <w:rPr>
          <w:rFonts w:ascii="Arial" w:hAnsi="Arial"/>
          <w:b w:val="0"/>
          <w:i w:val="0"/>
          <w:color w:val="000000"/>
          <w:sz w:val="20"/>
        </w:rPr>
        <w:t xml:space="preserve"> </w:t>
      </w:r>
      <w:r>
        <w:rPr>
          <w:rFonts w:ascii="Arial" w:hAnsi="Arial"/>
          <w:b/>
          <w:i w:val="0"/>
          <w:color w:val="000000"/>
          <w:sz w:val="20"/>
        </w:rPr>
        <w:t>53,</w:t>
      </w:r>
      <w:r>
        <w:rPr>
          <w:rFonts w:ascii="Arial" w:hAnsi="Arial"/>
          <w:b w:val="0"/>
          <w:i w:val="0"/>
          <w:color w:val="000000"/>
          <w:sz w:val="20"/>
        </w:rPr>
        <w:t xml:space="preserve"> D886–D900 (2025).</w:t>
      </w:r>
    </w:p>
    <w:p>
      <w:pPr>
        <w:spacing w:line="276" w:lineRule="auto" w:after="60"/>
      </w:pPr>
      <w:r>
        <w:rPr>
          <w:rFonts w:ascii="Arial" w:hAnsi="Arial"/>
          <w:b w:val="0"/>
          <w:i w:val="0"/>
          <w:color w:val="000000"/>
          <w:sz w:val="20"/>
        </w:rPr>
        <w:t xml:space="preserve">56. Liberzon, A. et al. The Molecular Signatures Database Hallmark Gene Set Collection. </w:t>
      </w:r>
      <w:r>
        <w:rPr>
          <w:rFonts w:ascii="Arial" w:hAnsi="Arial"/>
          <w:b w:val="0"/>
          <w:i/>
          <w:color w:val="000000"/>
          <w:sz w:val="20"/>
        </w:rPr>
        <w:t>Cell Syst.</w:t>
      </w:r>
      <w:r>
        <w:rPr>
          <w:rFonts w:ascii="Arial" w:hAnsi="Arial"/>
          <w:b w:val="0"/>
          <w:i w:val="0"/>
          <w:color w:val="000000"/>
          <w:sz w:val="20"/>
        </w:rPr>
        <w:t xml:space="preserve"> </w:t>
      </w:r>
      <w:r>
        <w:rPr>
          <w:rFonts w:ascii="Arial" w:hAnsi="Arial"/>
          <w:b/>
          <w:i w:val="0"/>
          <w:color w:val="000000"/>
          <w:sz w:val="20"/>
        </w:rPr>
        <w:t>1,</w:t>
      </w:r>
      <w:r>
        <w:rPr>
          <w:rFonts w:ascii="Arial" w:hAnsi="Arial"/>
          <w:b w:val="0"/>
          <w:i w:val="0"/>
          <w:color w:val="000000"/>
          <w:sz w:val="20"/>
        </w:rPr>
        <w:t xml:space="preserve"> 417–425 (2015).</w:t>
      </w:r>
    </w:p>
    <w:p>
      <w:pPr>
        <w:pStyle w:val="Heading1"/>
        <w:spacing w:before="420" w:after="160"/>
      </w:pPr>
      <w:r>
        <w:rPr>
          <w:rFonts w:ascii="Arial" w:hAnsi="Arial"/>
          <w:color w:val="000000"/>
          <w:sz w:val="28"/>
          <w:b/>
        </w:rPr>
        <w:t>Acknowledgements</w:t>
      </w:r>
    </w:p>
    <w:p>
      <w:pPr>
        <w:spacing w:line="276" w:lineRule="auto" w:after="80"/>
        <w:ind w:firstLine="0"/>
      </w:pPr>
      <w:r>
        <w:rPr>
          <w:rFonts w:ascii="Arial" w:hAnsi="Arial"/>
          <w:b w:val="0"/>
          <w:i w:val="0"/>
          <w:color w:val="000000"/>
          <w:sz w:val="22"/>
        </w:rPr>
        <w:t>This work was supported by the National Natural Science Foundation of China (NSFC) under grant number 32370682. We thank the Tabula Muris Consortium, Tabula Sapiens Consortium, TCGA Research Network, and the Siletti et al. brain atlas team for making their data publicly available. We also thank the developers of scanpy, scipy, scikit-learn, and the broader open-source scientific Python ecosystem for the computational infrastructure that made this work possible. We are grateful to the HRT Atlas team for maintaining the housekeeping gene reference resource.</w:t>
      </w:r>
    </w:p>
    <w:p>
      <w:pPr>
        <w:pStyle w:val="Heading1"/>
        <w:spacing w:before="420" w:after="160"/>
      </w:pPr>
      <w:r>
        <w:rPr>
          <w:rFonts w:ascii="Arial" w:hAnsi="Arial"/>
          <w:color w:val="000000"/>
          <w:sz w:val="28"/>
          <w:b/>
        </w:rPr>
        <w:t>Author contributions</w:t>
      </w:r>
    </w:p>
    <w:p>
      <w:pPr>
        <w:spacing w:line="276" w:lineRule="auto" w:after="80"/>
        <w:ind w:firstLine="0"/>
      </w:pPr>
      <w:r>
        <w:rPr>
          <w:rFonts w:ascii="Arial" w:hAnsi="Arial"/>
          <w:b w:val="0"/>
          <w:i w:val="0"/>
          <w:color w:val="000000"/>
          <w:sz w:val="22"/>
        </w:rPr>
        <w:t>X.W. performed the analyses and wrote the first draft of the manuscript. L.Z. conceived and supervised the study, developed the CKI algorithm, acquired funding, and finalized the manuscript. Both authors read and approved the final manuscript.</w:t>
      </w:r>
    </w:p>
    <w:p>
      <w:pPr>
        <w:pStyle w:val="Heading1"/>
        <w:spacing w:before="420" w:after="160"/>
      </w:pPr>
      <w:r>
        <w:rPr>
          <w:rFonts w:ascii="Arial" w:hAnsi="Arial"/>
          <w:color w:val="000000"/>
          <w:sz w:val="28"/>
          <w:b/>
        </w:rPr>
        <w:t>Competing interests</w:t>
      </w:r>
    </w:p>
    <w:p>
      <w:pPr>
        <w:spacing w:line="276" w:lineRule="auto" w:after="80"/>
        <w:ind w:firstLine="0"/>
      </w:pPr>
      <w:r>
        <w:rPr>
          <w:rFonts w:ascii="Arial" w:hAnsi="Arial"/>
          <w:b w:val="0"/>
          <w:i w:val="0"/>
          <w:color w:val="000000"/>
          <w:sz w:val="22"/>
        </w:rPr>
        <w:t>The authors declare no competing interests.</w:t>
      </w:r>
    </w:p>
    <w:p>
      <w:pPr>
        <w:spacing w:line="276" w:lineRule="auto" w:after="80"/>
        <w:ind w:firstLine="0"/>
      </w:pPr>
      <w:r>
        <w:rPr>
          <w:rFonts w:ascii="Arial" w:hAnsi="Arial"/>
          <w:b w:val="0"/>
          <w:i w:val="0"/>
          <w:color w:val="000000"/>
          <w:sz w:val="22"/>
        </w:rPr>
        <w:t>Supplementary Information is available for this paper: Supplementary Notes 1–15, Supplementary Figs. 1–13, and Supplementary Tables 1–4 (accompanying CKI_Supplementary document). Additional file 2: Reproducibility Guide provides step-by-step instructions, the verified computational environment, and spot-check values for reproducing all analyses, figures, and tables reported in this work.</w:t>
      </w:r>
    </w:p>
    <w:p>
      <w:pPr>
        <w:spacing w:line="276" w:lineRule="auto" w:after="80"/>
        <w:ind w:firstLine="0"/>
      </w:pPr>
      <w:r>
        <w:rPr>
          <w:rFonts w:ascii="Arial" w:hAnsi="Arial"/>
          <w:b w:val="0"/>
          <w:i w:val="0"/>
          <w:color w:val="000000"/>
          <w:sz w:val="22"/>
        </w:rPr>
        <w:t>Correspondence and requests for materials should be addressed to L.Z.</w:t>
      </w:r>
    </w:p>
    <w:p>
      <w:pPr>
        <w:pStyle w:val="Heading1"/>
        <w:spacing w:before="420" w:after="160"/>
      </w:pPr>
      <w:r>
        <w:rPr>
          <w:rFonts w:ascii="Arial" w:hAnsi="Arial"/>
          <w:color w:val="000000"/>
          <w:sz w:val="28"/>
          <w:b/>
        </w:rPr>
        <w:t>Figure legends</w:t>
      </w:r>
    </w:p>
    <w:p>
      <w:pPr>
        <w:spacing w:line="276" w:lineRule="auto" w:after="80"/>
        <w:ind w:firstLine="0"/>
      </w:pPr>
      <w:r>
        <w:rPr>
          <w:rFonts w:ascii="Arial" w:hAnsi="Arial"/>
          <w:b w:val="0"/>
          <w:i w:val="0"/>
          <w:color w:val="000000"/>
          <w:sz w:val="22"/>
        </w:rPr>
        <w:t>Figure 1. The CKI framework. (a) Conceptual analogy between Ka/Ks in molecular evolution and CKI in transcriptomics. Ka/Ks uses synonymous substitution rate (Ks) as a neutral baseline; ω = Ka/Ks &gt; 1 indicates positive selection (a heuristic analogy only, not a formal population-genetic claim). CKI uses housekeeping gene divergence for k_n and identity gene divergence for k_f; ω = k_f/k_n quantifies transcriptomic divergence relative to the baseline. (b) Computational pipeline: raw count matrix → pseudobulk → JS divergence on HK genes (k_n) and identity genes (k_f) → ω = k_f/k_n. (c) Bootstrap distribution of the mean split-half control ω (B = 10,000 resamples of the 300 mouse-pilot split-half control ω values from 50 replicates across six control populations), with the median indicated by the dashed line and the control mean (the empirical calibration baseline 7.70, 95% CI [7.37, 8.02]) by the dotted line. (d) Scatter plot of k_n vs. k_f, showing that functional variation dominates constrained baseline. (e) ω distribution with ω = 1 (the theoretical baseline for equivalent populations, marked by dashed line) and the empirical calibration baseline ω = 7.70 indicated; ω = 1 is never observed in practice because identity-gene selection inflates k_f relative to k_n (see Results).</w:t>
      </w:r>
    </w:p>
    <w:p>
      <w:pPr>
        <w:spacing w:line="276" w:lineRule="auto" w:after="80"/>
        <w:ind w:firstLine="0"/>
      </w:pPr>
      <w:r>
        <w:rPr>
          <w:rFonts w:ascii="Arial" w:hAnsi="Arial"/>
          <w:b w:val="0"/>
          <w:i w:val="0"/>
          <w:color w:val="000000"/>
          <w:sz w:val="22"/>
        </w:rPr>
        <w:t>Figure 2. CKI calibration on Tabula Muris mouse data. (a) k_n calibration across six Tabula Muris cell types from control comparisons (C category: random split of same population). k_n values are stable across cell types, consistent with constrained baseline behavior. (b) Component decomposition of k_n and k_f across four comparison categories: C (random split of the same population), S (same cell type, different organ), D (different cell type, same organ), and X (different cell type, different organ). k_f increases monotonically with biological distance, while k_n remains relatively constrained. (c) ω distribution by comparison category (log scale) from the mouse pilot calibration dataset. Boxes: median and IQR; whiskers, 1.5× IQR. ω increases monotonically from control splits (c) to cross-organ comparisons (X); X vs. C, one-sided Mann-Whitney test.</w:t>
      </w:r>
    </w:p>
    <w:p>
      <w:pPr>
        <w:spacing w:line="276" w:lineRule="auto" w:after="80"/>
        <w:ind w:firstLine="0"/>
      </w:pPr>
      <w:r>
        <w:rPr>
          <w:rFonts w:ascii="Arial" w:hAnsi="Arial"/>
          <w:b w:val="0"/>
          <w:i w:val="0"/>
          <w:color w:val="000000"/>
          <w:sz w:val="22"/>
        </w:rPr>
        <w:t>Figure 3. Correlation structure between CKI and standard metrics. (a) Spearman correlation heatmap of five metrics on n = 4,851 Tabula Sapiens pairs. CKI ω is negatively correlated with all four standard metrics; because k_n is itself positively correlated with the standard metrics, this negativity partly reflects the ω denominator (see Results). Standard metrics form a positive cluster. (b) ROC curves for cell-type classification across five metrics on Tabula Sapiens data.</w:t>
      </w:r>
    </w:p>
    <w:p>
      <w:pPr>
        <w:spacing w:line="276" w:lineRule="auto" w:after="80"/>
        <w:ind w:firstLine="0"/>
      </w:pPr>
      <w:r>
        <w:rPr>
          <w:rFonts w:ascii="Arial" w:hAnsi="Arial"/>
          <w:b w:val="0"/>
          <w:i w:val="0"/>
          <w:color w:val="000000"/>
          <w:sz w:val="22"/>
        </w:rPr>
        <w:t>Figure 4. Real-data neutral-drift calibration on technical replicates. (a) Schematic of the four-tier drift ladder. Library-level pairs within each brain cell class are arranged by drift source: the per-pair n-matched null (pooled nuclei of the two libraries, permuted and re-split at the observed group sizes) embeds same-library sampling noise; T1 pairs two 10x libraries of the same donor, region, and cell type (pure technical drift; ground truth: no functional difference); T2 crosses donors within a region (technical plus inter-individual drift); T3 crosses regions within a donor (regional biology; positive control). (b) Brain calibration distributions (observed / own n-matched null median; log scale) for seven metrics across tiers T1–T3; boxes show median and IQR (whiskers not shown; extreme tails clipped at the 2nd–98th percentiles for display). ω (leftmost metric) stays near 1 at T1 and shows the shallowest gradient to T3, whereas raw JS, cosine, Spearman, and k_f rise several-fold. (c) False-positive rates on T1 (technical drift, dark) and T2 (donor drift, light): fraction of pairs whose observed value exceeds its own null 95th percentile, with Wilson 95% CIs; the dotted line marks the nominal 5% level. ω misreports least among divergence metrics at both tiers; marker Jaccard is low at T1 but responds weakest to real regional divergence (T3 calibration 1.41 versus 1.80 for ω and 2.98 for raw JS; panel b). (d) Replication in the Kang IFN-β PBMC batch-1 technical replicates (30 same-donor, same-condition cross-lane pairs, n-matched null with B = 200 per pair): ω FPR = 0 of 30 with calibration median 0.96, versus 36.7% for raw JS and 23.3% for cosine. ω lowers drift misreporting to the minimum among compared metrics while retaining sensitivity to genuine biological divergence—a relative-calibration advantage, not absolute immunity (see Results).</w:t>
      </w:r>
    </w:p>
    <w:p>
      <w:pPr>
        <w:spacing w:line="276" w:lineRule="auto" w:after="80"/>
        <w:ind w:firstLine="0"/>
      </w:pPr>
      <w:r>
        <w:rPr>
          <w:rFonts w:ascii="Arial" w:hAnsi="Arial"/>
          <w:b w:val="0"/>
          <w:i w:val="0"/>
          <w:color w:val="000000"/>
          <w:sz w:val="22"/>
        </w:rPr>
        <w:t>Figure 5. Pan-cancer tissue-level divergence in tumors. (a) Ratio of mean normal–normal (NN) to tumor–tumor (TT) ω per cancer type (blue; ranked by effect size), with sample-level cluster-bootstrap 95% CIs (B = 1,000); the amber axis shows the corresponding tumor/normal ratio of the housekeeping baseline k_n (TT/NN, means with 95% CIs), which exceeds 1 in all five cancer types while k_f does not—the reversal is denominator-driven. Dotted line, ratio = 1. (b) Per-tumor ω in LUAD by driver mutation (wild-type n = 311, EGFR-mutant n = 61, KRAS-mutant n = 120; boxes, median and IQR; points, individual tumors). Kruskal-Wallis P = 7.8 × 10⁻⁷; brackets, Dunn post-hoc P-values with Holm correction. (c, d) The same stratification for the components k_f (c) and k_n (d): the KRAS contrast carries a functional component (KRAS &gt; EGFR under k_f alone, P_Holm = 0.015), whereas the EGFR association appears only in the k_n baseline (WT &gt; KRAS, P_Holm = 4.2 × 10⁻⁴). All values from the linear-normalization re-computation (Methods).</w:t>
      </w:r>
    </w:p>
    <w:p>
      <w:pPr>
        <w:spacing w:line="276" w:lineRule="auto" w:after="80"/>
        <w:ind w:firstLine="0"/>
      </w:pPr>
      <w:r>
        <w:rPr>
          <w:rFonts w:ascii="Arial" w:hAnsi="Arial"/>
          <w:b w:val="0"/>
          <w:i w:val="0"/>
          <w:color w:val="000000"/>
          <w:sz w:val="22"/>
        </w:rPr>
        <w:t>Figure 6. Cross-organ cell-type conservation. (a) CKI ω ranking of 17 cell types with cross-organ comparisons (n = 59 pairs) within the Tabula Sapiens human atlas, with well-sampled cell types (n ≥ 5 pairs) ranked first and sparsely sampled types (n &lt; 5) listed separately. Among well-sampled types, CD8+ T cells, plasma cells, and neutrophils rank lowest; endothelial cells and erythrocytes rank highest (n = 3 pairs each, suggestive only). (b) ω distribution across all cell-type pairs, showing conserved vs. variable cell types. (c) Cross-organ ω gradient (mean ± SD) showing systematic variation across organ pairs. (d) Top 5 conservative cell-type pairs with the lowest cross-organ ω values.</w:t>
      </w:r>
    </w:p>
    <w:p>
      <w:pPr>
        <w:spacing w:line="276" w:lineRule="auto" w:after="80"/>
        <w:ind w:firstLine="0"/>
      </w:pPr>
      <w:r>
        <w:rPr>
          <w:rFonts w:ascii="Arial" w:hAnsi="Arial"/>
          <w:b w:val="0"/>
          <w:i w:val="0"/>
          <w:color w:val="000000"/>
          <w:sz w:val="22"/>
        </w:rPr>
        <w:t>Figure 7. Brain regional cell-type differentiation and region-association inference. (a) Brain region map schematic showing anatomical regions analyzed in the Siletti et al. atlas. (b) ω gradient across 10 non-neuronal cell classes (mean ω per class, block-shuffle observed landscape). Bergmann glia and vascular cells (mean ω = 13.56) show the lowest regional divergence; astrocytes (mean ω = 82.75) show the highest, a 6.10-fold gradient that is an uncorrected upper bound inflated by class-size imbalance (equal-n estimate 1.74-fold, 95% CI [1.64, 1.84]). The gradient is a composite signal dominated by the k_n denominator (3.21-fold k_n versus 2.03-fold k_f contribution at the endpoint contrast; see Results). (c) Region-associated candidate detection: multiplicative residual model identifies 39 Strong candidates (residual &lt; 0.3, ω &lt; 15, lowest ω in pair) among 31,764 cross-region comparisons, shown as tier counts as a percentage of all pairs; under a design-matched null the Strong rule expects 148.3 candidates, so the observed 39 are anti-enriched (P(null count ≥ 39) = 1.0) and none survives FDR correction. (d) Observed vs. expected ω for the five strongest Strong candidates across all cell classes (lowest residuals), showing the gap between observed regional similarity and the cell-type-specific expectation.</w:t>
      </w:r>
    </w:p>
    <w:p>
      <w:pPr>
        <w:spacing w:line="276" w:lineRule="auto" w:after="80"/>
        <w:ind w:firstLine="0"/>
      </w:pPr>
      <w:r>
        <w:rPr>
          <w:rFonts w:ascii="Arial" w:hAnsi="Arial"/>
          <w:b w:val="0"/>
          <w:i w:val="0"/>
          <w:color w:val="000000"/>
          <w:sz w:val="22"/>
        </w:rPr>
        <w:t>Supplementary Fig. 1. Parameter sweep and pathway analysis. (a) k_n stability as a function of housekeeping gene set size; k_n decreases monotonically with increasing HK gene number (250–1,000), indicating that the baseline rate is gene-set-size-dependent; absolute ω values are therefore scheme-specific, consistent with the fixed-panel ablation (Results). (b) Variance of module-level GSVA enrichment scores across 38 mouse cell-type entries for the 20 HVG-partition modules (sorted by variance). Cell-type divergence is broadly distributed across modules rather than concentrated in a single module, consistent with the identity-only configuration of k_f. (c) Weight sweep for multi-component k_f. Identity-only (w_identity = 1.0, w_pathway = 0.0) achieves optimal cell-type discrimination (AUC = 0.786, n = 703 mouse cell-type pairs, 6 organs).</w:t>
      </w:r>
    </w:p>
    <w:p>
      <w:pPr>
        <w:spacing w:line="276" w:lineRule="auto" w:after="80"/>
        <w:ind w:firstLine="0"/>
      </w:pPr>
      <w:r>
        <w:rPr>
          <w:rFonts w:ascii="Arial" w:hAnsi="Arial"/>
          <w:b w:val="0"/>
          <w:i w:val="0"/>
          <w:color w:val="000000"/>
          <w:sz w:val="22"/>
        </w:rPr>
        <w:t>Supplementary Fig. 2. Calibrated ω under two baselines. (a) Raw ω and calibrated ω (ω_cal = ω / 7.70, mouse FACS baseline; ω / 9.73, brain-internal baseline) by brain cell type (log scale). Dashed line indicates the split-half expectation (ω_cal = 1.0). (b) Calibrated ω distributions across all 31,764 brain region pairs under both baselines; calibrating with the mouse baseline overstates brain ω_cal by 1.26-fold (9.73 / 7.70).</w:t>
      </w:r>
    </w:p>
    <w:p>
      <w:pPr>
        <w:spacing w:line="276" w:lineRule="auto" w:after="80"/>
        <w:ind w:firstLine="0"/>
      </w:pPr>
      <w:r>
        <w:rPr>
          <w:rFonts w:ascii="Arial" w:hAnsi="Arial"/>
          <w:b w:val="0"/>
          <w:i w:val="0"/>
          <w:color w:val="000000"/>
          <w:sz w:val="22"/>
        </w:rPr>
        <w:t>Supplementary Fig. 3. Real perturbation demonstration (Kang et al. IFN-β-stimulated PBMCs). (a) Area under the ROC curve (AUC) for separating within-donor stim-versus-control pairs (perturbation) from cross-donor same-condition pairs (donor drift) per cell type, for ω (blue), k_f alone (green), and raw JS divergence (grey); bars start at the chance level of 0.5. Where IFN-β moves the housekeeping anchor hardest (CD14+ monocytes), the ω AUC falls to 0.55 while k_f retains 0.98 — the anchor-visibility boundary. (b) Median per-pair k_n (JS divergence on housekeeping genes) by comparison class, donor-drift pairs (steel) versus stim-versus-control pairs (red), on a logarithmic scale; red annotations give the stim-versus-control-to-donor-drift median ratio (1.2–5.7-fold), consistent with the perturbation raising the housekeeping anchor itself. Condition is fully confounded with capture lane in this dataset; cross-metric contrasts, not absolute detection, are the informative quantity.</w:t>
      </w:r>
    </w:p>
    <w:p>
      <w:pPr>
        <w:spacing w:line="276" w:lineRule="auto" w:after="80"/>
        <w:ind w:firstLine="0"/>
      </w:pPr>
      <w:r>
        <w:rPr>
          <w:rFonts w:ascii="Arial" w:hAnsi="Arial"/>
          <w:b w:val="0"/>
          <w:i w:val="0"/>
          <w:color w:val="000000"/>
          <w:sz w:val="22"/>
        </w:rPr>
        <w:t>Supplementary Fig. 4. TCGA per-cancer matrices and supplementary stratification vignettes. (a) Pairwise ω matrices for five cancer types (BRCA, KIRC, LIHC, LUAD, LUSC) showing tissue-level transcriptomic divergence structure within each cancer cohort. (b) Within-cancer-type stratification (exploratory): per-tumor ω by LIHC Edmondson grade and BRCA PAM50 subtype; both orderings are denominator-dominated and reverse or largely reverse under k_f alone, unlike the LUAD driver-mutation contrast (Results).</w:t>
      </w:r>
    </w:p>
    <w:p>
      <w:pPr>
        <w:spacing w:line="276" w:lineRule="auto" w:after="80"/>
        <w:ind w:firstLine="0"/>
      </w:pPr>
      <w:r>
        <w:rPr>
          <w:rFonts w:ascii="Arial" w:hAnsi="Arial"/>
          <w:b w:val="0"/>
          <w:i w:val="0"/>
          <w:color w:val="000000"/>
          <w:sz w:val="22"/>
        </w:rPr>
        <w:t>Supplementary Fig. 5. Cross-organ conservation raw data. Blue = well-sampled (n ≥ 5 pairs); gray = sparsely sampled (n &lt; 5 pairs). panel a shows mean ± SD; panel b shows raw pair-level distribution.</w:t>
      </w:r>
    </w:p>
    <w:p>
      <w:pPr>
        <w:spacing w:line="276" w:lineRule="auto" w:after="80"/>
        <w:ind w:firstLine="0"/>
      </w:pPr>
      <w:r>
        <w:rPr>
          <w:rFonts w:ascii="Arial" w:hAnsi="Arial"/>
          <w:b w:val="0"/>
          <w:i w:val="0"/>
          <w:color w:val="000000"/>
          <w:sz w:val="22"/>
        </w:rPr>
        <w:t>Supplementary Fig. 6. Brain regional analysis details. (a) Mean regional divergence (ω, with SD) per cell type, ranked ascending; red bars denote significant deviation from the block-shuffle null (p &lt; 0.05 and |standardised effect size (SES)| ≥ 2; SES = [observed ω − null mean] / null SD), grey otherwise. (b) ω versus number of sampled regions (n_regions) per cell type; Spearman ρ is reported (broader spatial coverage is not significantly associated with divergence at n = 10). (c) Distribution of multiplicative residuals (observed/expected ω) across all 31,764 cross-region pairs; colours indicate confidence tier (Strong: &lt; 0.3; Moderate: &lt; 0.5; Weak).</w:t>
      </w:r>
    </w:p>
    <w:p>
      <w:pPr>
        <w:spacing w:line="276" w:lineRule="auto" w:after="80"/>
        <w:ind w:firstLine="0"/>
      </w:pPr>
      <w:r>
        <w:rPr>
          <w:rFonts w:ascii="Arial" w:hAnsi="Arial"/>
          <w:b w:val="0"/>
          <w:i w:val="0"/>
          <w:color w:val="000000"/>
          <w:sz w:val="22"/>
        </w:rPr>
        <w:t>Supplementary Fig. 7. Pair-specific k_n variability (brain). (a) Distribution of per-pair k_n values by cell type (bars: mean ± SD); bar colour reflects the cross-pair coefficient of variation (CV) of k_n, from light (low CV, stable k_n) to dark (high CV, variable k_n). (b) Per-pair ω (pair-specific k_n) versus ω estimated with the global mean k_n; red line is y = x. Spearman ρ = 0.142 (P = 7.07×10⁻¹⁴³, n = 31,764).</w:t>
      </w:r>
    </w:p>
    <w:p>
      <w:pPr>
        <w:spacing w:line="276" w:lineRule="auto" w:after="80"/>
        <w:ind w:firstLine="0"/>
      </w:pPr>
      <w:r>
        <w:rPr>
          <w:rFonts w:ascii="Arial" w:hAnsi="Arial"/>
          <w:b w:val="0"/>
          <w:i w:val="0"/>
          <w:color w:val="000000"/>
          <w:sz w:val="22"/>
        </w:rPr>
        <w:t>Supplementary Fig. 8. Developmental signature detection. (a) Multiplicative residual distribution for all 31,764 cross-region pairs, with Strong (residual &lt; 0.3), Moderate (residual &lt; 0.5), and Weak (residual &lt; 0.75) tiers shaded. (b) The ten Strong candidates with the smallest residual, shown as horizontal bars (residual and ω value annotated on each bar); bars are coloured by oligodendrocyte (OL) lineage membership (purple, OL-lineage; red, non-OL). Inset: OL-lineage representation among Strong candidates — 12 of 39 Strong, fold = 0.77, hypergeometric P = 0.92 (no enrichment). Cell types and region pairs are given in full. (c) Confidence-tier composition (Strong/Moderate/Weak) of all cross-region pairs, stacked by cell type and sorted by the number of Strong pairs (ascending). The number and percentage (to two decimal places) of Strong pairs are annotated on each bar — e.g., Microglia: Strong 16 (0.96%); Oligodendrocyte: Strong 10 (0.95%); Astrocyte: Strong 3 (0.47%).</w:t>
      </w:r>
    </w:p>
    <w:p>
      <w:pPr>
        <w:spacing w:line="276" w:lineRule="auto" w:after="80"/>
        <w:ind w:firstLine="0"/>
      </w:pPr>
      <w:r>
        <w:rPr>
          <w:rFonts w:ascii="Arial" w:hAnsi="Arial"/>
          <w:b w:val="0"/>
          <w:i w:val="0"/>
          <w:color w:val="000000"/>
          <w:sz w:val="22"/>
        </w:rPr>
        <w:t>Supplementary Fig. 9. Block-shuffle permutation null for the residual model. Distribution of multiplicative residuals under block-shuffle permutation of library-to-region assignments (B = 1,000), compared against observed residuals for Strong candidates.</w:t>
      </w:r>
    </w:p>
    <w:p>
      <w:pPr>
        <w:spacing w:line="276" w:lineRule="auto" w:after="80"/>
        <w:ind w:firstLine="0"/>
      </w:pPr>
      <w:r>
        <w:rPr>
          <w:rFonts w:ascii="Arial" w:hAnsi="Arial"/>
          <w:b w:val="0"/>
          <w:i w:val="0"/>
          <w:color w:val="000000"/>
          <w:sz w:val="22"/>
        </w:rPr>
        <w:t>Supplementary Fig. 10. Pseudo-region negative control for the brain block-shuffle null (QQ plots of per-pair permutation P-values against the uniform distribution). (a) Lower-tail P-values; (b) upper-tail P-values. Every region’s libraries were split uniformly at random into two pseudo-regions per cell type and the identical block-shuffle test (B = 1,000) was re-run on the 127,756 pseudo-pairs. Pseudo-pairs between halves of different real regions (cross-origin, n = 127,056) track the diagonal closely (marginal tail rates 5.79% lower / 6.87% upper versus the 5% nominal level), closely matching the real analysis (6.17% / 7.90%), while pairs between the two halves of the same region (same-origin, n = 700) deviate strongly in the lower tail (37.6%), demonstrating both the null’s calibration under the design-matched null and its power to detect within-region library similarity.</w:t>
      </w:r>
    </w:p>
    <w:p>
      <w:pPr>
        <w:spacing w:line="276" w:lineRule="auto" w:after="80"/>
        <w:ind w:firstLine="0"/>
      </w:pPr>
      <w:r>
        <w:rPr>
          <w:rFonts w:ascii="Arial" w:hAnsi="Arial"/>
          <w:b w:val="0"/>
          <w:i w:val="0"/>
          <w:color w:val="000000"/>
          <w:sz w:val="22"/>
        </w:rPr>
        <w:t>Supplementary Fig. 11. Cross-species comparison details. (a) Cross-species ω comparison: scatter plot of human vs. mouse per-cell-type mean ω for the 15 shared cell types (Spearman r = −0.17, P = 0.55; no significant correlation).</w:t>
      </w:r>
    </w:p>
    <w:p>
      <w:pPr>
        <w:spacing w:line="276" w:lineRule="auto" w:after="80"/>
        <w:ind w:firstLine="0"/>
      </w:pPr>
      <w:r>
        <w:rPr>
          <w:rFonts w:ascii="Arial" w:hAnsi="Arial"/>
          <w:b w:val="0"/>
          <w:i w:val="0"/>
          <w:color w:val="000000"/>
          <w:sz w:val="22"/>
        </w:rPr>
        <w:t>Supplementary Fig. 12. ω distribution characterization. Histograms and Q-Q plots of ω distributions for brain, mouse, and human datasets, showing right-skewness; normality is rejected for brain (D’Agostino-Pearson, P &lt; 2.2 × 10⁻¹⁶) and human (Shapiro-Wilk, P = 7.6 × 10⁻⁴²), while the mouse pilot (n = 15 pairs) does not reject normality (P = 0.071), although the small sample size limits the power of this test.</w:t>
      </w:r>
    </w:p>
    <w:p>
      <w:pPr>
        <w:spacing w:line="276" w:lineRule="auto" w:after="80"/>
        <w:ind w:firstLine="0"/>
      </w:pPr>
      <w:r>
        <w:rPr>
          <w:rFonts w:ascii="Arial" w:hAnsi="Arial"/>
          <w:b w:val="0"/>
          <w:i w:val="0"/>
          <w:color w:val="000000"/>
          <w:sz w:val="22"/>
        </w:rPr>
        <w:t>Supplementary Fig. 13. JS divergence dimensionality invariance. (a) Mean JS divergence between random Dirichlet distribution pairs as a function of dimensionality (50–5,000 genes, n = 2,000 trials per dimension), showing that JS divergence is effectively constant across dimensions (ratio = 1.001 between d = 1,130 and d = 2,000). (b) Dimensionality ratio relative to the HK gene set (d = 1,130), confirming that k_n and k_f are dimensionally comparable.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