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submit our manuscript, “CKI is a Ka/Ks-inspired index quantifying functional divergence in single-cell genomics”, for consideration as an Article in Nature Communications. CKI (Cell-type Ka/Ks-inspired Index) is, to our knowledge, the first framework to make a principled separation of functional divergence from background drift in transcriptomic comparisons: adapting the Ka/Ks ratio’s logic, it decomposes divergence into a housekeeping baseline k_n and an identity-gene rate k_f (ω = k_f/k_n). The work fits Nature Communications’ scope of computational methods validated on large-scale real data.</w:t>
      </w:r>
    </w:p>
    <w:p>
      <w:pPr>
        <w:spacing w:line="240" w:lineRule="auto" w:after="80" w:before="0"/>
      </w:pPr>
      <w:r>
        <w:t>The manuscript rests on three pillars. First, in ground-truth simulation (1,750 replicates), ω alone did not false-trigger on neutral housekeeping drift (false-positive rate 0.00 versus 0.55–0.58 for JS and cosine) and ranked first for functional-versus-neutral discrimination (AUC = 0.80). Second, in real-data drift calibration, ω misreported none of 30 cross-lane technical-replicate pairs (Kang IFN-β PBMC data; raw JS 36.7%, cosine 23.3%) and, on 2,161 brain technical-drift pairs, misreported least of seven metrics (28.6% versus 44–45%, lowest in all ten cell classes), with the shallowest drift-ladder gradient (1.04 → 1.76 → 1.80 versus 1.07 → 3.32 → 2.98 for raw JS). Third, across 3,596 TCGA samples in five cancer types, tumor specimens were consistently less divergent than adjacent non-tumor tissue (NN/TT ω ratio 1.13–2.46, bootstrap CIs excluding 1 in four of five)—reflecting a 2.1–3.6-fold elevated housekeeping baseline, not reduced functional divergence; and in lung adenocarcinoma the k_f/k_n decomposition separates KRAS-mutant tumors (functional component, P = 7.8 × 10⁻⁷) from EGFR-mutant tumors (baseline-driven).</w:t>
      </w:r>
    </w:p>
    <w:p>
      <w:pPr>
        <w:spacing w:line="240" w:lineRule="auto" w:after="80" w:before="0"/>
      </w:pPr>
      <w:r>
        <w:t>Previously raised concerns that (i) the index does not outperform existing metrics and (ii) the work may hold limited interest for a broad biological readership have been addressed directly. On (i): the classification benchmark (AUC = 0.680, 5th of 5) is by design—CKI trades global-identity sensitivity for identity-gene divergence, and classification is outside its question domain; on the appropriate benchmark, misreporting control, ω misreports technical and donor drift least among all compared metrics while retaining sensitivity to biology. On (ii): the pan-cancer divergence map and the LUAD driver-class decomposition give the work direct cancer-biology relevance, and the drift-ladder calibration speaks to anyone who has seen batch effects masquerade as biology.</w:t>
      </w:r>
    </w:p>
    <w:p>
      <w:pPr>
        <w:spacing w:line="240" w:lineRule="auto" w:after="80" w:before="0"/>
      </w:pPr>
      <w:r>
        <w:t>Both authors declare no competing interests. The work is original, not under consideration elsewhere, and not previously submitted to Nature Communications. AI tools were used for debugging, code review, and language editing; all AI-assisted content was reviewed and revised by the authors, who take full responsibility. This work was supported by the National Natural Science Foundation of China (grant 32370682). The CKI Python package (v0.5.0, MIT License) and all analysis code are available at https://github.com/zhanglknt/CKI-cell-type-identification (Zenodo DOI 10.5281/zenodo.22735744).</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