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a Ka/Ks-inspired index for quantifying functional cell-type divergence in single-cell transcriptomics</w:t>
      </w:r>
    </w:p>
    <w:p>
      <w:r>
        <w:rPr>
          <w:rFonts w:ascii="Arial" w:hAnsi="Arial"/>
          <w:b w:val="0"/>
          <w:color w:val="000000"/>
          <w:sz w:val="22"/>
        </w:rPr>
        <w:t>Xianming Wu (1), Li Zhang (1,2,*)</w:t>
      </w:r>
    </w:p>
    <w:p>
      <w:r>
        <w:rPr>
          <w:rFonts w:ascii="Arial" w:hAnsi="Arial"/>
          <w:b w:val="0"/>
          <w:color w:val="000000"/>
          <w:sz w:val="22"/>
        </w:rPr>
        <w:t>(1) Chinese Institute for Brain Research, Beijing, China</w:t>
      </w:r>
    </w:p>
    <w:p>
      <w:r>
        <w:rPr>
          <w:rFonts w:ascii="Arial" w:hAnsi="Arial"/>
          <w:b w:val="0"/>
          <w:color w:val="000000"/>
          <w:sz w:val="22"/>
        </w:rPr>
        <w:t>(2) Institute of Blood Transfusion, Chinese Academy of Medical Sciences &amp; Peking Union Medical College, Chengdu,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 (v45)</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 (v45)</w:t>
      </w:r>
    </w:p>
    <w:p>
      <w:r>
        <w:rPr>
          <w:rFonts w:ascii="Arial" w:hAnsi="Arial"/>
          <w:b w:val="0"/>
          <w:color w:val="000000"/>
          <w:sz w:val="22"/>
        </w:rPr>
        <w:t>Supplementary Note 5: Non-HK-Anchored Neutral Drift Controls (v45)</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 (v44)</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 (v45)</w:t>
      </w:r>
    </w:p>
    <w:p>
      <w:r>
        <w:rPr>
          <w:rFonts w:ascii="Arial" w:hAnsi="Arial"/>
          <w:b w:val="0"/>
          <w:color w:val="000000"/>
          <w:sz w:val="22"/>
        </w:rPr>
        <w:t>Supplementary Note 15: JS Divergence Dimensionality Invariance</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Data 1: Complete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The authoritative TCGA pipeline (notebooks/06_phase34_v2.py) applies the softmax probability mapping to log2(TPM + 1) values, which is mathematically equivalent to the power transformation p_i ∝ (TPM + 1)^(1/ln 2) (Section 1.1). To verify that this mapping choice does not drive any conclusion, the entire TCGA analysis was re-run with the strictly linear mapping p_i = (TPM + 1)/Σ(TPM + 1), mirroring the authoritative pipeline otherwise (per-cancer streaming gene loading, mean TPM ≥ 0.5 filtering, per-cancer HK mapping, per-pair top-200 |Δ| identity genes ranked on the log2(TPM + 1) representation so that the identity gene sets are unchanged, kn_floor = 1 × 10⁻⁴, seed 42, TT/TN caps of 2,000 pairs). Scripts: notebooks/85_tcga_linear_norm_v44.py (main pipeline and clinical severity) and notebooks/86_tcga_composition_linear_norm_v44.py (composition sensitivity); report: results/tcga_linear_norm_v44_report.md.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 type</w:t>
            </w:r>
          </w:p>
        </w:tc>
        <w:tc>
          <w:tcPr>
            <w:tcW w:type="dxa" w:w="1881"/>
          </w:tcPr>
          <w:p>
            <w:r>
              <w:rPr>
                <w:rFonts w:ascii="Arial" w:hAnsi="Arial"/>
                <w:b/>
                <w:sz w:val="18"/>
              </w:rPr>
              <w:t>TN/baseline ω (softmax)</w:t>
            </w:r>
          </w:p>
        </w:tc>
        <w:tc>
          <w:tcPr>
            <w:tcW w:type="dxa" w:w="1881"/>
          </w:tcPr>
          <w:p>
            <w:r>
              <w:rPr>
                <w:rFonts w:ascii="Arial" w:hAnsi="Arial"/>
                <w:b/>
                <w:sz w:val="18"/>
              </w:rPr>
              <w:t>TN/baseline ω (linear)</w:t>
            </w:r>
          </w:p>
        </w:tc>
        <w:tc>
          <w:tcPr>
            <w:tcW w:type="dxa" w:w="1881"/>
          </w:tcPr>
          <w:p>
            <w:r>
              <w:rPr>
                <w:rFonts w:ascii="Arial" w:hAnsi="Arial"/>
                <w:b/>
                <w:sz w:val="18"/>
              </w:rPr>
              <w:t>NN &gt; TT ω reversal</w:t>
            </w:r>
          </w:p>
        </w:tc>
        <w:tc>
          <w:tcPr>
            <w:tcW w:type="dxa" w:w="1881"/>
          </w:tcPr>
          <w:p>
            <w:r>
              <w:rPr>
                <w:rFonts w:ascii="Arial" w:hAnsi="Arial"/>
                <w:b/>
                <w:sz w:val="18"/>
              </w:rPr>
              <w:t>TT/NN k_n fold (linear)</w:t>
            </w:r>
          </w:p>
        </w:tc>
      </w:tr>
      <w:tr>
        <w:tc>
          <w:tcPr>
            <w:tcW w:type="dxa" w:w="1881"/>
          </w:tcPr>
          <w:p>
            <w:r>
              <w:rPr>
                <w:rFonts w:ascii="Arial" w:hAnsi="Arial"/>
                <w:sz w:val="18"/>
              </w:rPr>
              <w:t>LUAD</w:t>
            </w:r>
          </w:p>
        </w:tc>
        <w:tc>
          <w:tcPr>
            <w:tcW w:type="dxa" w:w="1881"/>
          </w:tcPr>
          <w:p>
            <w:r>
              <w:rPr>
                <w:rFonts w:ascii="Arial" w:hAnsi="Arial"/>
                <w:sz w:val="18"/>
              </w:rPr>
              <w:t>0.65</w:t>
            </w:r>
          </w:p>
        </w:tc>
        <w:tc>
          <w:tcPr>
            <w:tcW w:type="dxa" w:w="1881"/>
          </w:tcPr>
          <w:p>
            <w:r>
              <w:rPr>
                <w:rFonts w:ascii="Arial" w:hAnsi="Arial"/>
                <w:sz w:val="18"/>
              </w:rPr>
              <w:t>0.70</w:t>
            </w:r>
          </w:p>
        </w:tc>
        <w:tc>
          <w:tcPr>
            <w:tcW w:type="dxa" w:w="1881"/>
          </w:tcPr>
          <w:p>
            <w:r>
              <w:rPr>
                <w:rFonts w:ascii="Arial" w:hAnsi="Arial"/>
                <w:sz w:val="18"/>
              </w:rPr>
              <w:t>retained</w:t>
            </w:r>
          </w:p>
        </w:tc>
        <w:tc>
          <w:tcPr>
            <w:tcW w:type="dxa" w:w="1881"/>
          </w:tcPr>
          <w:p>
            <w:r>
              <w:rPr>
                <w:rFonts w:ascii="Arial" w:hAnsi="Arial"/>
                <w:sz w:val="18"/>
              </w:rPr>
              <w:t>2.6×</w:t>
            </w:r>
          </w:p>
        </w:tc>
      </w:tr>
      <w:tr>
        <w:tc>
          <w:tcPr>
            <w:tcW w:type="dxa" w:w="1881"/>
          </w:tcPr>
          <w:p>
            <w:r>
              <w:rPr>
                <w:rFonts w:ascii="Arial" w:hAnsi="Arial"/>
                <w:sz w:val="18"/>
              </w:rPr>
              <w:t>LUSC</w:t>
            </w:r>
          </w:p>
        </w:tc>
        <w:tc>
          <w:tcPr>
            <w:tcW w:type="dxa" w:w="1881"/>
          </w:tcPr>
          <w:p>
            <w:r>
              <w:rPr>
                <w:rFonts w:ascii="Arial" w:hAnsi="Arial"/>
                <w:sz w:val="18"/>
              </w:rPr>
              <w:t>0.67</w:t>
            </w:r>
          </w:p>
        </w:tc>
        <w:tc>
          <w:tcPr>
            <w:tcW w:type="dxa" w:w="1881"/>
          </w:tcPr>
          <w:p>
            <w:r>
              <w:rPr>
                <w:rFonts w:ascii="Arial" w:hAnsi="Arial"/>
                <w:sz w:val="18"/>
              </w:rPr>
              <w:t>0.74</w:t>
            </w:r>
          </w:p>
        </w:tc>
        <w:tc>
          <w:tcPr>
            <w:tcW w:type="dxa" w:w="1881"/>
          </w:tcPr>
          <w:p>
            <w:r>
              <w:rPr>
                <w:rFonts w:ascii="Arial" w:hAnsi="Arial"/>
                <w:sz w:val="18"/>
              </w:rPr>
              <w:t>retained</w:t>
            </w:r>
          </w:p>
        </w:tc>
        <w:tc>
          <w:tcPr>
            <w:tcW w:type="dxa" w:w="1881"/>
          </w:tcPr>
          <w:p>
            <w:r>
              <w:rPr>
                <w:rFonts w:ascii="Arial" w:hAnsi="Arial"/>
                <w:sz w:val="18"/>
              </w:rPr>
              <w:t>2.7×</w:t>
            </w:r>
          </w:p>
        </w:tc>
      </w:tr>
      <w:tr>
        <w:tc>
          <w:tcPr>
            <w:tcW w:type="dxa" w:w="1881"/>
          </w:tcPr>
          <w:p>
            <w:r>
              <w:rPr>
                <w:rFonts w:ascii="Arial" w:hAnsi="Arial"/>
                <w:sz w:val="18"/>
              </w:rPr>
              <w:t>LIHC</w:t>
            </w:r>
          </w:p>
        </w:tc>
        <w:tc>
          <w:tcPr>
            <w:tcW w:type="dxa" w:w="1881"/>
          </w:tcPr>
          <w:p>
            <w:r>
              <w:rPr>
                <w:rFonts w:ascii="Arial" w:hAnsi="Arial"/>
                <w:sz w:val="18"/>
              </w:rPr>
              <w:t>0.78</w:t>
            </w:r>
          </w:p>
        </w:tc>
        <w:tc>
          <w:tcPr>
            <w:tcW w:type="dxa" w:w="1881"/>
          </w:tcPr>
          <w:p>
            <w:r>
              <w:rPr>
                <w:rFonts w:ascii="Arial" w:hAnsi="Arial"/>
                <w:sz w:val="18"/>
              </w:rPr>
              <w:t>0.83</w:t>
            </w:r>
          </w:p>
        </w:tc>
        <w:tc>
          <w:tcPr>
            <w:tcW w:type="dxa" w:w="1881"/>
          </w:tcPr>
          <w:p>
            <w:r>
              <w:rPr>
                <w:rFonts w:ascii="Arial" w:hAnsi="Arial"/>
                <w:sz w:val="18"/>
              </w:rPr>
              <w:t>retained</w:t>
            </w:r>
          </w:p>
        </w:tc>
        <w:tc>
          <w:tcPr>
            <w:tcW w:type="dxa" w:w="1881"/>
          </w:tcPr>
          <w:p>
            <w:r>
              <w:rPr>
                <w:rFonts w:ascii="Arial" w:hAnsi="Arial"/>
                <w:sz w:val="18"/>
              </w:rPr>
              <w:t>2.1×</w:t>
            </w:r>
          </w:p>
        </w:tc>
      </w:tr>
      <w:tr>
        <w:tc>
          <w:tcPr>
            <w:tcW w:type="dxa" w:w="1881"/>
          </w:tcPr>
          <w:p>
            <w:r>
              <w:rPr>
                <w:rFonts w:ascii="Arial" w:hAnsi="Arial"/>
                <w:sz w:val="18"/>
              </w:rPr>
              <w:t>KIRC</w:t>
            </w:r>
          </w:p>
        </w:tc>
        <w:tc>
          <w:tcPr>
            <w:tcW w:type="dxa" w:w="1881"/>
          </w:tcPr>
          <w:p>
            <w:r>
              <w:rPr>
                <w:rFonts w:ascii="Arial" w:hAnsi="Arial"/>
                <w:sz w:val="18"/>
              </w:rPr>
              <w:t>0.74</w:t>
            </w:r>
          </w:p>
        </w:tc>
        <w:tc>
          <w:tcPr>
            <w:tcW w:type="dxa" w:w="1881"/>
          </w:tcPr>
          <w:p>
            <w:r>
              <w:rPr>
                <w:rFonts w:ascii="Arial" w:hAnsi="Arial"/>
                <w:sz w:val="18"/>
              </w:rPr>
              <w:t>0.81</w:t>
            </w:r>
          </w:p>
        </w:tc>
        <w:tc>
          <w:tcPr>
            <w:tcW w:type="dxa" w:w="1881"/>
          </w:tcPr>
          <w:p>
            <w:r>
              <w:rPr>
                <w:rFonts w:ascii="Arial" w:hAnsi="Arial"/>
                <w:sz w:val="18"/>
              </w:rPr>
              <w:t>retained</w:t>
            </w:r>
          </w:p>
        </w:tc>
        <w:tc>
          <w:tcPr>
            <w:tcW w:type="dxa" w:w="1881"/>
          </w:tcPr>
          <w:p>
            <w:r>
              <w:rPr>
                <w:rFonts w:ascii="Arial" w:hAnsi="Arial"/>
                <w:sz w:val="18"/>
              </w:rPr>
              <w:t>3.6×</w:t>
            </w:r>
          </w:p>
        </w:tc>
      </w:tr>
      <w:tr>
        <w:tc>
          <w:tcPr>
            <w:tcW w:type="dxa" w:w="1881"/>
          </w:tcPr>
          <w:p>
            <w:r>
              <w:rPr>
                <w:rFonts w:ascii="Arial" w:hAnsi="Arial"/>
                <w:sz w:val="18"/>
              </w:rPr>
              <w:t>BRCA</w:t>
            </w:r>
          </w:p>
        </w:tc>
        <w:tc>
          <w:tcPr>
            <w:tcW w:type="dxa" w:w="1881"/>
          </w:tcPr>
          <w:p>
            <w:r>
              <w:rPr>
                <w:rFonts w:ascii="Arial" w:hAnsi="Arial"/>
                <w:sz w:val="18"/>
              </w:rPr>
              <w:t>0.78</w:t>
            </w:r>
          </w:p>
        </w:tc>
        <w:tc>
          <w:tcPr>
            <w:tcW w:type="dxa" w:w="1881"/>
          </w:tcPr>
          <w:p>
            <w:r>
              <w:rPr>
                <w:rFonts w:ascii="Arial" w:hAnsi="Arial"/>
                <w:sz w:val="18"/>
              </w:rPr>
              <w:t>0.84</w:t>
            </w:r>
          </w:p>
        </w:tc>
        <w:tc>
          <w:tcPr>
            <w:tcW w:type="dxa" w:w="1881"/>
          </w:tcPr>
          <w:p>
            <w:r>
              <w:rPr>
                <w:rFonts w:ascii="Arial" w:hAnsi="Arial"/>
                <w:sz w:val="18"/>
              </w:rPr>
              <w:t>retained</w:t>
            </w:r>
          </w:p>
        </w:tc>
        <w:tc>
          <w:tcPr>
            <w:tcW w:type="dxa" w:w="1881"/>
          </w:tcPr>
          <w:p>
            <w:r>
              <w:rPr>
                <w:rFonts w:ascii="Arial" w:hAnsi="Arial"/>
                <w:sz w:val="18"/>
              </w:rPr>
              <w:t>2.8×</w:t>
            </w:r>
          </w:p>
        </w:tc>
      </w:tr>
    </w:tbl>
    <w:p>
      <w:r>
        <w:rPr>
          <w:rFonts w:ascii="Arial" w:hAnsi="Arial"/>
          <w:b w:val="0"/>
          <w:color w:val="000000"/>
          <w:sz w:val="22"/>
        </w:rPr>
        <w:t>Table (Section 1.7). Linear-normalization robustness of the TCGA main pipeline. Every qualitative conclusion is preserved: the tumor-normal versus baseline contrast stays significant in all five cancer types (all TN/baseline ω &lt; 1; permutation P = 1 × 10⁻⁴⁹ to 1 × 10⁻¹⁴), with ratios attenuating slightly toward 1; the NN &gt; TT ω reversal is retained in 5 of 5 cancer types with the k_n reversal (TT k_n 2.1–3.6× the NN median) intact; k_n &lt; 1 × 10⁻⁴ floor saturation is &lt; 0.1% under the linear mapping (a single pair of 35,306 at k_n = 8.4 × 10⁻⁵; all other pair-level k_n ≈ 7 × 10⁻⁴ to 6 × 10⁻³), so the floor is not an artifact of the mapping; all three clinical-severity orderings are preserved (full values in Supplementary Note 9); and the composition-sensitivity conclusion is unchanged (pooled tumor-pair coefficient attenuation −0.8%, cluster-bootstrap median −1.2% [95% CI −4.1%, +2.6%]; Supplementary Note 8).</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cell type classification performance assessment.</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3.7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3.11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3.18 Mouse Split-Half Re-calibration (6 → 50 splits; v44)</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3.19 Competitor Benchmark: MELD and a Python Approximation of scDist (v44)</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cells</w:t>
            </w:r>
          </w:p>
        </w:tc>
        <w:tc>
          <w:tcPr>
            <w:tcW w:type="dxa" w:w="1881"/>
          </w:tcPr>
          <w:p>
            <w:r>
              <w:rPr>
                <w:rFonts w:ascii="Arial" w:hAnsi="Arial"/>
                <w:b/>
                <w:sz w:val="18"/>
              </w:rPr>
              <w:t>CKI ω_cal</w:t>
            </w:r>
          </w:p>
        </w:tc>
        <w:tc>
          <w:tcPr>
            <w:tcW w:type="dxa" w:w="1881"/>
          </w:tcPr>
          <w:p>
            <w:r>
              <w:rPr>
                <w:rFonts w:ascii="Arial" w:hAnsi="Arial"/>
                <w:b/>
                <w:sz w:val="18"/>
              </w:rPr>
              <w:t>MELD within-type AUC</w:t>
            </w:r>
          </w:p>
        </w:tc>
        <w:tc>
          <w:tcPr>
            <w:tcW w:type="dxa" w:w="1881"/>
          </w:tcPr>
          <w:p>
            <w:r>
              <w:rPr>
                <w:rFonts w:ascii="Arial" w:hAnsi="Arial"/>
                <w:b/>
                <w:sz w:val="18"/>
              </w:rPr>
              <w:t>scDist-approx distance</w:t>
            </w:r>
          </w:p>
        </w:tc>
      </w:tr>
      <w:tr>
        <w:tc>
          <w:tcPr>
            <w:tcW w:type="dxa" w:w="1881"/>
          </w:tcPr>
          <w:p>
            <w:r>
              <w:rPr>
                <w:rFonts w:ascii="Arial" w:hAnsi="Arial"/>
                <w:sz w:val="18"/>
              </w:rPr>
              <w:t>B cells</w:t>
            </w:r>
          </w:p>
        </w:tc>
        <w:tc>
          <w:tcPr>
            <w:tcW w:type="dxa" w:w="1881"/>
          </w:tcPr>
          <w:p>
            <w:r>
              <w:rPr>
                <w:rFonts w:ascii="Arial" w:hAnsi="Arial"/>
                <w:sz w:val="18"/>
              </w:rPr>
              <w:t>2,573</w:t>
            </w:r>
          </w:p>
        </w:tc>
        <w:tc>
          <w:tcPr>
            <w:tcW w:type="dxa" w:w="1881"/>
          </w:tcPr>
          <w:p>
            <w:r>
              <w:rPr>
                <w:rFonts w:ascii="Arial" w:hAnsi="Arial"/>
                <w:sz w:val="18"/>
              </w:rPr>
              <w:t>3.44</w:t>
            </w:r>
          </w:p>
        </w:tc>
        <w:tc>
          <w:tcPr>
            <w:tcW w:type="dxa" w:w="1881"/>
          </w:tcPr>
          <w:p>
            <w:r>
              <w:rPr>
                <w:rFonts w:ascii="Arial" w:hAnsi="Arial"/>
                <w:sz w:val="18"/>
              </w:rPr>
              <w:t>0.9994</w:t>
            </w:r>
          </w:p>
        </w:tc>
        <w:tc>
          <w:tcPr>
            <w:tcW w:type="dxa" w:w="1881"/>
          </w:tcPr>
          <w:p>
            <w:r>
              <w:rPr>
                <w:rFonts w:ascii="Arial" w:hAnsi="Arial"/>
                <w:sz w:val="18"/>
              </w:rPr>
              <w:t>94.7</w:t>
            </w:r>
          </w:p>
        </w:tc>
      </w:tr>
      <w:tr>
        <w:tc>
          <w:tcPr>
            <w:tcW w:type="dxa" w:w="1881"/>
          </w:tcPr>
          <w:p>
            <w:r>
              <w:rPr>
                <w:rFonts w:ascii="Arial" w:hAnsi="Arial"/>
                <w:sz w:val="18"/>
              </w:rPr>
              <w:t>CD14+ monocytes</w:t>
            </w:r>
          </w:p>
        </w:tc>
        <w:tc>
          <w:tcPr>
            <w:tcW w:type="dxa" w:w="1881"/>
          </w:tcPr>
          <w:p>
            <w:r>
              <w:rPr>
                <w:rFonts w:ascii="Arial" w:hAnsi="Arial"/>
                <w:sz w:val="18"/>
              </w:rPr>
              <w:t>5,385</w:t>
            </w:r>
          </w:p>
        </w:tc>
        <w:tc>
          <w:tcPr>
            <w:tcW w:type="dxa" w:w="1881"/>
          </w:tcPr>
          <w:p>
            <w:r>
              <w:rPr>
                <w:rFonts w:ascii="Arial" w:hAnsi="Arial"/>
                <w:sz w:val="18"/>
              </w:rPr>
              <w:t>2.28</w:t>
            </w:r>
          </w:p>
        </w:tc>
        <w:tc>
          <w:tcPr>
            <w:tcW w:type="dxa" w:w="1881"/>
          </w:tcPr>
          <w:p>
            <w:r>
              <w:rPr>
                <w:rFonts w:ascii="Arial" w:hAnsi="Arial"/>
                <w:sz w:val="18"/>
              </w:rPr>
              <w:t>0.9998</w:t>
            </w:r>
          </w:p>
        </w:tc>
        <w:tc>
          <w:tcPr>
            <w:tcW w:type="dxa" w:w="1881"/>
          </w:tcPr>
          <w:p>
            <w:r>
              <w:rPr>
                <w:rFonts w:ascii="Arial" w:hAnsi="Arial"/>
                <w:sz w:val="18"/>
              </w:rPr>
              <w:t>182.6</w:t>
            </w:r>
          </w:p>
        </w:tc>
      </w:tr>
      <w:tr>
        <w:tc>
          <w:tcPr>
            <w:tcW w:type="dxa" w:w="1881"/>
          </w:tcPr>
          <w:p>
            <w:r>
              <w:rPr>
                <w:rFonts w:ascii="Arial" w:hAnsi="Arial"/>
                <w:sz w:val="18"/>
              </w:rPr>
              <w:t>CD4 T cells</w:t>
            </w:r>
          </w:p>
        </w:tc>
        <w:tc>
          <w:tcPr>
            <w:tcW w:type="dxa" w:w="1881"/>
          </w:tcPr>
          <w:p>
            <w:r>
              <w:rPr>
                <w:rFonts w:ascii="Arial" w:hAnsi="Arial"/>
                <w:sz w:val="18"/>
              </w:rPr>
              <w:t>10,389</w:t>
            </w:r>
          </w:p>
        </w:tc>
        <w:tc>
          <w:tcPr>
            <w:tcW w:type="dxa" w:w="1881"/>
          </w:tcPr>
          <w:p>
            <w:r>
              <w:rPr>
                <w:rFonts w:ascii="Arial" w:hAnsi="Arial"/>
                <w:sz w:val="18"/>
              </w:rPr>
              <w:t>1.76</w:t>
            </w:r>
          </w:p>
        </w:tc>
        <w:tc>
          <w:tcPr>
            <w:tcW w:type="dxa" w:w="1881"/>
          </w:tcPr>
          <w:p>
            <w:r>
              <w:rPr>
                <w:rFonts w:ascii="Arial" w:hAnsi="Arial"/>
                <w:sz w:val="18"/>
              </w:rPr>
              <w:t>0.9989</w:t>
            </w:r>
          </w:p>
        </w:tc>
        <w:tc>
          <w:tcPr>
            <w:tcW w:type="dxa" w:w="1881"/>
          </w:tcPr>
          <w:p>
            <w:r>
              <w:rPr>
                <w:rFonts w:ascii="Arial" w:hAnsi="Arial"/>
                <w:sz w:val="18"/>
              </w:rPr>
              <w:t>71.9</w:t>
            </w:r>
          </w:p>
        </w:tc>
      </w:tr>
      <w:tr>
        <w:tc>
          <w:tcPr>
            <w:tcW w:type="dxa" w:w="1881"/>
          </w:tcPr>
          <w:p>
            <w:r>
              <w:rPr>
                <w:rFonts w:ascii="Arial" w:hAnsi="Arial"/>
                <w:sz w:val="18"/>
              </w:rPr>
              <w:t>CD8 T cells</w:t>
            </w:r>
          </w:p>
        </w:tc>
        <w:tc>
          <w:tcPr>
            <w:tcW w:type="dxa" w:w="1881"/>
          </w:tcPr>
          <w:p>
            <w:r>
              <w:rPr>
                <w:rFonts w:ascii="Arial" w:hAnsi="Arial"/>
                <w:sz w:val="18"/>
              </w:rPr>
              <w:t>2,042</w:t>
            </w:r>
          </w:p>
        </w:tc>
        <w:tc>
          <w:tcPr>
            <w:tcW w:type="dxa" w:w="1881"/>
          </w:tcPr>
          <w:p>
            <w:r>
              <w:rPr>
                <w:rFonts w:ascii="Arial" w:hAnsi="Arial"/>
                <w:sz w:val="18"/>
              </w:rPr>
              <w:t>3.23</w:t>
            </w:r>
          </w:p>
        </w:tc>
        <w:tc>
          <w:tcPr>
            <w:tcW w:type="dxa" w:w="1881"/>
          </w:tcPr>
          <w:p>
            <w:r>
              <w:rPr>
                <w:rFonts w:ascii="Arial" w:hAnsi="Arial"/>
                <w:sz w:val="18"/>
              </w:rPr>
              <w:t>0.9976</w:t>
            </w:r>
          </w:p>
        </w:tc>
        <w:tc>
          <w:tcPr>
            <w:tcW w:type="dxa" w:w="1881"/>
          </w:tcPr>
          <w:p>
            <w:r>
              <w:rPr>
                <w:rFonts w:ascii="Arial" w:hAnsi="Arial"/>
                <w:sz w:val="18"/>
              </w:rPr>
              <w:t>72.4</w:t>
            </w:r>
          </w:p>
        </w:tc>
      </w:tr>
      <w:tr>
        <w:tc>
          <w:tcPr>
            <w:tcW w:type="dxa" w:w="1881"/>
          </w:tcPr>
          <w:p>
            <w:r>
              <w:rPr>
                <w:rFonts w:ascii="Arial" w:hAnsi="Arial"/>
                <w:sz w:val="18"/>
              </w:rPr>
              <w:t>FCGR3A+ monocytes</w:t>
            </w:r>
          </w:p>
        </w:tc>
        <w:tc>
          <w:tcPr>
            <w:tcW w:type="dxa" w:w="1881"/>
          </w:tcPr>
          <w:p>
            <w:r>
              <w:rPr>
                <w:rFonts w:ascii="Arial" w:hAnsi="Arial"/>
                <w:sz w:val="18"/>
              </w:rPr>
              <w:t>1,599</w:t>
            </w:r>
          </w:p>
        </w:tc>
        <w:tc>
          <w:tcPr>
            <w:tcW w:type="dxa" w:w="1881"/>
          </w:tcPr>
          <w:p>
            <w:r>
              <w:rPr>
                <w:rFonts w:ascii="Arial" w:hAnsi="Arial"/>
                <w:sz w:val="18"/>
              </w:rPr>
              <w:t>3.09</w:t>
            </w:r>
          </w:p>
        </w:tc>
        <w:tc>
          <w:tcPr>
            <w:tcW w:type="dxa" w:w="1881"/>
          </w:tcPr>
          <w:p>
            <w:r>
              <w:rPr>
                <w:rFonts w:ascii="Arial" w:hAnsi="Arial"/>
                <w:sz w:val="18"/>
              </w:rPr>
              <w:t>0.9995</w:t>
            </w:r>
          </w:p>
        </w:tc>
        <w:tc>
          <w:tcPr>
            <w:tcW w:type="dxa" w:w="1881"/>
          </w:tcPr>
          <w:p>
            <w:r>
              <w:rPr>
                <w:rFonts w:ascii="Arial" w:hAnsi="Arial"/>
                <w:sz w:val="18"/>
              </w:rPr>
              <w:t>145.3</w:t>
            </w:r>
          </w:p>
        </w:tc>
      </w:tr>
      <w:tr>
        <w:tc>
          <w:tcPr>
            <w:tcW w:type="dxa" w:w="1881"/>
          </w:tcPr>
          <w:p>
            <w:r>
              <w:rPr>
                <w:rFonts w:ascii="Arial" w:hAnsi="Arial"/>
                <w:sz w:val="18"/>
              </w:rPr>
              <w:t>NK cells</w:t>
            </w:r>
          </w:p>
        </w:tc>
        <w:tc>
          <w:tcPr>
            <w:tcW w:type="dxa" w:w="1881"/>
          </w:tcPr>
          <w:p>
            <w:r>
              <w:rPr>
                <w:rFonts w:ascii="Arial" w:hAnsi="Arial"/>
                <w:sz w:val="18"/>
              </w:rPr>
              <w:t>1,993</w:t>
            </w:r>
          </w:p>
        </w:tc>
        <w:tc>
          <w:tcPr>
            <w:tcW w:type="dxa" w:w="1881"/>
          </w:tcPr>
          <w:p>
            <w:r>
              <w:rPr>
                <w:rFonts w:ascii="Arial" w:hAnsi="Arial"/>
                <w:sz w:val="18"/>
              </w:rPr>
              <w:t>2.88</w:t>
            </w:r>
          </w:p>
        </w:tc>
        <w:tc>
          <w:tcPr>
            <w:tcW w:type="dxa" w:w="1881"/>
          </w:tcPr>
          <w:p>
            <w:r>
              <w:rPr>
                <w:rFonts w:ascii="Arial" w:hAnsi="Arial"/>
                <w:sz w:val="18"/>
              </w:rPr>
              <w:t>0.9972</w:t>
            </w:r>
          </w:p>
        </w:tc>
        <w:tc>
          <w:tcPr>
            <w:tcW w:type="dxa" w:w="1881"/>
          </w:tcPr>
          <w:p>
            <w:r>
              <w:rPr>
                <w:rFonts w:ascii="Arial" w:hAnsi="Arial"/>
                <w:sz w:val="18"/>
              </w:rPr>
              <w:t>88.2</w:t>
            </w:r>
          </w:p>
        </w:tc>
      </w:tr>
    </w:tbl>
    <w:p>
      <w:r>
        <w:rPr>
          <w:rFonts w:ascii="Arial" w:hAnsi="Arial"/>
          <w:b w:val="0"/>
          <w:color w:val="000000"/>
          <w:sz w:val="22"/>
        </w:rPr>
        <w:t>Table (Section 3.19a). Per-cell-type effects on Kang IFN-β (stimulated versus control). ω_cal is calibrated against the split-half baseline of Supplementary Note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Method</w:t>
            </w:r>
          </w:p>
        </w:tc>
        <w:tc>
          <w:tcPr>
            <w:tcW w:type="dxa" w:w="1176"/>
          </w:tcPr>
          <w:p>
            <w:r>
              <w:rPr>
                <w:rFonts w:ascii="Arial" w:hAnsi="Arial"/>
                <w:b/>
                <w:sz w:val="18"/>
              </w:rPr>
              <w:t>FPR/type</w:t>
            </w:r>
          </w:p>
        </w:tc>
        <w:tc>
          <w:tcPr>
            <w:tcW w:type="dxa" w:w="1176"/>
          </w:tcPr>
          <w:p>
            <w:r>
              <w:rPr>
                <w:rFonts w:ascii="Arial" w:hAnsi="Arial"/>
                <w:b/>
                <w:sz w:val="18"/>
              </w:rPr>
              <w:t>G100 F2</w:t>
            </w:r>
          </w:p>
        </w:tc>
        <w:tc>
          <w:tcPr>
            <w:tcW w:type="dxa" w:w="1176"/>
          </w:tcPr>
          <w:p>
            <w:r>
              <w:rPr>
                <w:rFonts w:ascii="Arial" w:hAnsi="Arial"/>
                <w:b/>
                <w:sz w:val="18"/>
              </w:rPr>
              <w:t>G100 F4</w:t>
            </w:r>
          </w:p>
        </w:tc>
        <w:tc>
          <w:tcPr>
            <w:tcW w:type="dxa" w:w="1176"/>
          </w:tcPr>
          <w:p>
            <w:r>
              <w:rPr>
                <w:rFonts w:ascii="Arial" w:hAnsi="Arial"/>
                <w:b/>
                <w:sz w:val="18"/>
              </w:rPr>
              <w:t>G100 F8</w:t>
            </w:r>
          </w:p>
        </w:tc>
        <w:tc>
          <w:tcPr>
            <w:tcW w:type="dxa" w:w="1176"/>
          </w:tcPr>
          <w:p>
            <w:r>
              <w:rPr>
                <w:rFonts w:ascii="Arial" w:hAnsi="Arial"/>
                <w:b/>
                <w:sz w:val="18"/>
              </w:rPr>
              <w:t>G500 F2</w:t>
            </w:r>
          </w:p>
        </w:tc>
        <w:tc>
          <w:tcPr>
            <w:tcW w:type="dxa" w:w="1176"/>
          </w:tcPr>
          <w:p>
            <w:r>
              <w:rPr>
                <w:rFonts w:ascii="Arial" w:hAnsi="Arial"/>
                <w:b/>
                <w:sz w:val="18"/>
              </w:rPr>
              <w:t>G500 F4</w:t>
            </w:r>
          </w:p>
        </w:tc>
        <w:tc>
          <w:tcPr>
            <w:tcW w:type="dxa" w:w="1176"/>
          </w:tcPr>
          <w:p>
            <w:r>
              <w:rPr>
                <w:rFonts w:ascii="Arial" w:hAnsi="Arial"/>
                <w:b/>
                <w:sz w:val="18"/>
              </w:rPr>
              <w:t>G500 F8</w:t>
            </w:r>
          </w:p>
        </w:tc>
      </w:tr>
      <w:tr>
        <w:tc>
          <w:tcPr>
            <w:tcW w:type="dxa" w:w="1176"/>
          </w:tcPr>
          <w:p>
            <w:r>
              <w:rPr>
                <w:rFonts w:ascii="Arial" w:hAnsi="Arial"/>
                <w:sz w:val="18"/>
              </w:rPr>
              <w:t>MELD</w:t>
            </w:r>
          </w:p>
        </w:tc>
        <w:tc>
          <w:tcPr>
            <w:tcW w:type="dxa" w:w="1176"/>
          </w:tcPr>
          <w:p>
            <w:r>
              <w:rPr>
                <w:rFonts w:ascii="Arial" w:hAnsi="Arial"/>
                <w:sz w:val="18"/>
              </w:rPr>
              <w:t>0.033</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scDist (Python approximation)</w:t>
            </w:r>
          </w:p>
        </w:tc>
        <w:tc>
          <w:tcPr>
            <w:tcW w:type="dxa" w:w="1176"/>
          </w:tcPr>
          <w:p>
            <w:r>
              <w:rPr>
                <w:rFonts w:ascii="Arial" w:hAnsi="Arial"/>
                <w:sz w:val="18"/>
              </w:rPr>
              <w:t>0.050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CKI ω</w:t>
            </w:r>
          </w:p>
        </w:tc>
        <w:tc>
          <w:tcPr>
            <w:tcW w:type="dxa" w:w="1176"/>
          </w:tcPr>
          <w:p>
            <w:r>
              <w:rPr>
                <w:rFonts w:ascii="Arial" w:hAnsi="Arial"/>
                <w:sz w:val="18"/>
              </w:rPr>
              <w:t>0.083</w:t>
            </w:r>
          </w:p>
        </w:tc>
        <w:tc>
          <w:tcPr>
            <w:tcW w:type="dxa" w:w="1176"/>
          </w:tcPr>
          <w:p>
            <w:r>
              <w:rPr>
                <w:rFonts w:ascii="Arial" w:hAnsi="Arial"/>
                <w:sz w:val="18"/>
              </w:rPr>
              <w:t>0.517</w:t>
            </w:r>
          </w:p>
        </w:tc>
        <w:tc>
          <w:tcPr>
            <w:tcW w:type="dxa" w:w="1176"/>
          </w:tcPr>
          <w:p>
            <w:r>
              <w:rPr>
                <w:rFonts w:ascii="Arial" w:hAnsi="Arial"/>
                <w:sz w:val="18"/>
              </w:rPr>
              <w:t>0.688</w:t>
            </w:r>
          </w:p>
        </w:tc>
        <w:tc>
          <w:tcPr>
            <w:tcW w:type="dxa" w:w="1176"/>
          </w:tcPr>
          <w:p>
            <w:r>
              <w:rPr>
                <w:rFonts w:ascii="Arial" w:hAnsi="Arial"/>
                <w:sz w:val="18"/>
              </w:rPr>
              <w:t>0.787</w:t>
            </w:r>
          </w:p>
        </w:tc>
        <w:tc>
          <w:tcPr>
            <w:tcW w:type="dxa" w:w="1176"/>
          </w:tcPr>
          <w:p>
            <w:r>
              <w:rPr>
                <w:rFonts w:ascii="Arial" w:hAnsi="Arial"/>
                <w:sz w:val="18"/>
              </w:rPr>
              <w:t>0.127</w:t>
            </w:r>
          </w:p>
        </w:tc>
        <w:tc>
          <w:tcPr>
            <w:tcW w:type="dxa" w:w="1176"/>
          </w:tcPr>
          <w:p>
            <w:r>
              <w:rPr>
                <w:rFonts w:ascii="Arial" w:hAnsi="Arial"/>
                <w:sz w:val="18"/>
              </w:rPr>
              <w:t>0.059</w:t>
            </w:r>
          </w:p>
        </w:tc>
        <w:tc>
          <w:tcPr>
            <w:tcW w:type="dxa" w:w="1176"/>
          </w:tcPr>
          <w:p>
            <w:r>
              <w:rPr>
                <w:rFonts w:ascii="Arial" w:hAnsi="Arial"/>
                <w:sz w:val="18"/>
              </w:rPr>
              <w:t>0.054</w:t>
            </w:r>
          </w:p>
        </w:tc>
      </w:tr>
    </w:tbl>
    <w:p>
      <w:r>
        <w:rPr>
          <w:rFonts w:ascii="Arial" w:hAnsi="Arial"/>
          <w:b w:val="0"/>
          <w:color w:val="000000"/>
          <w:sz w:val="22"/>
        </w:rPr>
        <w:t>Table (Section 3.19b). Target-detection AUC (target CD14+ monocytes versus the five null cell types) in the additive mean-shift simulation. MELD and the scDist approximation also achieve sensitivity 1.00 and top-1 hit rate 1.00 at every configuration.</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 50</w:t>
            </w:r>
          </w:p>
        </w:tc>
        <w:tc>
          <w:tcPr>
            <w:tcW w:type="dxa" w:w="1881"/>
          </w:tcPr>
          <w:p>
            <w:r>
              <w:rPr>
                <w:rFonts w:ascii="Arial" w:hAnsi="Arial"/>
                <w:b/>
                <w:sz w:val="18"/>
              </w:rPr>
              <w:t>n = 100</w:t>
            </w:r>
          </w:p>
        </w:tc>
        <w:tc>
          <w:tcPr>
            <w:tcW w:type="dxa" w:w="1881"/>
          </w:tcPr>
          <w:p>
            <w:r>
              <w:rPr>
                <w:rFonts w:ascii="Arial" w:hAnsi="Arial"/>
                <w:b/>
                <w:sz w:val="18"/>
              </w:rPr>
              <w:t>n = 200</w:t>
            </w:r>
          </w:p>
        </w:tc>
        <w:tc>
          <w:tcPr>
            <w:tcW w:type="dxa" w:w="1881"/>
          </w:tcPr>
          <w:p>
            <w:r>
              <w:rPr>
                <w:rFonts w:ascii="Arial" w:hAnsi="Arial"/>
                <w:b/>
                <w:sz w:val="18"/>
              </w:rPr>
              <w:t>n = 500</w:t>
            </w:r>
          </w:p>
        </w:tc>
      </w:tr>
      <w:tr>
        <w:tc>
          <w:tcPr>
            <w:tcW w:type="dxa" w:w="1881"/>
          </w:tcPr>
          <w:p>
            <w:r>
              <w:rPr>
                <w:rFonts w:ascii="Arial" w:hAnsi="Arial"/>
                <w:sz w:val="18"/>
              </w:rPr>
              <w:t>B cells</w:t>
            </w:r>
          </w:p>
        </w:tc>
        <w:tc>
          <w:tcPr>
            <w:tcW w:type="dxa" w:w="1881"/>
          </w:tcPr>
          <w:p>
            <w:r>
              <w:rPr>
                <w:rFonts w:ascii="Arial" w:hAnsi="Arial"/>
                <w:sz w:val="18"/>
              </w:rPr>
              <w:t>0.84</w:t>
            </w:r>
          </w:p>
        </w:tc>
        <w:tc>
          <w:tcPr>
            <w:tcW w:type="dxa" w:w="1881"/>
          </w:tcPr>
          <w:p>
            <w:r>
              <w:rPr>
                <w:rFonts w:ascii="Arial" w:hAnsi="Arial"/>
                <w:sz w:val="18"/>
              </w:rPr>
              <w:t>0.68</w:t>
            </w:r>
          </w:p>
        </w:tc>
        <w:tc>
          <w:tcPr>
            <w:tcW w:type="dxa" w:w="1881"/>
          </w:tcPr>
          <w:p>
            <w:r>
              <w:rPr>
                <w:rFonts w:ascii="Arial" w:hAnsi="Arial"/>
                <w:sz w:val="18"/>
              </w:rPr>
              <w:t>0.17</w:t>
            </w:r>
          </w:p>
        </w:tc>
        <w:tc>
          <w:tcPr>
            <w:tcW w:type="dxa" w:w="1881"/>
          </w:tcPr>
          <w:p>
            <w:r>
              <w:rPr>
                <w:rFonts w:ascii="Arial" w:hAnsi="Arial"/>
                <w:sz w:val="18"/>
              </w:rPr>
              <w:t>—</w:t>
            </w:r>
          </w:p>
        </w:tc>
      </w:tr>
      <w:tr>
        <w:tc>
          <w:tcPr>
            <w:tcW w:type="dxa" w:w="1881"/>
          </w:tcPr>
          <w:p>
            <w:r>
              <w:rPr>
                <w:rFonts w:ascii="Arial" w:hAnsi="Arial"/>
                <w:sz w:val="18"/>
              </w:rPr>
              <w:t>CD14+ monocytes</w:t>
            </w:r>
          </w:p>
        </w:tc>
        <w:tc>
          <w:tcPr>
            <w:tcW w:type="dxa" w:w="1881"/>
          </w:tcPr>
          <w:p>
            <w:r>
              <w:rPr>
                <w:rFonts w:ascii="Arial" w:hAnsi="Arial"/>
                <w:sz w:val="18"/>
              </w:rPr>
              <w:t>0.78</w:t>
            </w:r>
          </w:p>
        </w:tc>
        <w:tc>
          <w:tcPr>
            <w:tcW w:type="dxa" w:w="1881"/>
          </w:tcPr>
          <w:p>
            <w:r>
              <w:rPr>
                <w:rFonts w:ascii="Arial" w:hAnsi="Arial"/>
                <w:sz w:val="18"/>
              </w:rPr>
              <w:t>0.76</w:t>
            </w:r>
          </w:p>
        </w:tc>
        <w:tc>
          <w:tcPr>
            <w:tcW w:type="dxa" w:w="1881"/>
          </w:tcPr>
          <w:p>
            <w:r>
              <w:rPr>
                <w:rFonts w:ascii="Arial" w:hAnsi="Arial"/>
                <w:sz w:val="18"/>
              </w:rPr>
              <w:t>0.55</w:t>
            </w:r>
          </w:p>
        </w:tc>
        <w:tc>
          <w:tcPr>
            <w:tcW w:type="dxa" w:w="1881"/>
          </w:tcPr>
          <w:p>
            <w:r>
              <w:rPr>
                <w:rFonts w:ascii="Arial" w:hAnsi="Arial"/>
                <w:sz w:val="18"/>
              </w:rPr>
              <w:t>—</w:t>
            </w:r>
          </w:p>
        </w:tc>
      </w:tr>
      <w:tr>
        <w:tc>
          <w:tcPr>
            <w:tcW w:type="dxa" w:w="1881"/>
          </w:tcPr>
          <w:p>
            <w:r>
              <w:rPr>
                <w:rFonts w:ascii="Arial" w:hAnsi="Arial"/>
                <w:sz w:val="18"/>
              </w:rPr>
              <w:t>CD4 T cells</w:t>
            </w:r>
          </w:p>
        </w:tc>
        <w:tc>
          <w:tcPr>
            <w:tcW w:type="dxa" w:w="1881"/>
          </w:tcPr>
          <w:p>
            <w:r>
              <w:rPr>
                <w:rFonts w:ascii="Arial" w:hAnsi="Arial"/>
                <w:sz w:val="18"/>
              </w:rPr>
              <w:t>0.67</w:t>
            </w:r>
          </w:p>
        </w:tc>
        <w:tc>
          <w:tcPr>
            <w:tcW w:type="dxa" w:w="1881"/>
          </w:tcPr>
          <w:p>
            <w:r>
              <w:rPr>
                <w:rFonts w:ascii="Arial" w:hAnsi="Arial"/>
                <w:sz w:val="18"/>
              </w:rPr>
              <w:t>0.61</w:t>
            </w:r>
          </w:p>
        </w:tc>
        <w:tc>
          <w:tcPr>
            <w:tcW w:type="dxa" w:w="1881"/>
          </w:tcPr>
          <w:p>
            <w:r>
              <w:rPr>
                <w:rFonts w:ascii="Arial" w:hAnsi="Arial"/>
                <w:sz w:val="18"/>
              </w:rPr>
              <w:t>0.47</w:t>
            </w:r>
          </w:p>
        </w:tc>
        <w:tc>
          <w:tcPr>
            <w:tcW w:type="dxa" w:w="1881"/>
          </w:tcPr>
          <w:p>
            <w:r>
              <w:rPr>
                <w:rFonts w:ascii="Arial" w:hAnsi="Arial"/>
                <w:sz w:val="18"/>
              </w:rPr>
              <w:t>0.09</w:t>
            </w:r>
          </w:p>
        </w:tc>
      </w:tr>
      <w:tr>
        <w:tc>
          <w:tcPr>
            <w:tcW w:type="dxa" w:w="1881"/>
          </w:tcPr>
          <w:p>
            <w:r>
              <w:rPr>
                <w:rFonts w:ascii="Arial" w:hAnsi="Arial"/>
                <w:sz w:val="18"/>
              </w:rPr>
              <w:t>CD8 T cells</w:t>
            </w:r>
          </w:p>
        </w:tc>
        <w:tc>
          <w:tcPr>
            <w:tcW w:type="dxa" w:w="1881"/>
          </w:tcPr>
          <w:p>
            <w:r>
              <w:rPr>
                <w:rFonts w:ascii="Arial" w:hAnsi="Arial"/>
                <w:sz w:val="18"/>
              </w:rPr>
              <w:t>0.70</w:t>
            </w:r>
          </w:p>
        </w:tc>
        <w:tc>
          <w:tcPr>
            <w:tcW w:type="dxa" w:w="1881"/>
          </w:tcPr>
          <w:p>
            <w:r>
              <w:rPr>
                <w:rFonts w:ascii="Arial" w:hAnsi="Arial"/>
                <w:sz w:val="18"/>
              </w:rPr>
              <w:t>0.68</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FCGR3A+ monocytes</w:t>
            </w:r>
          </w:p>
        </w:tc>
        <w:tc>
          <w:tcPr>
            <w:tcW w:type="dxa" w:w="1881"/>
          </w:tcPr>
          <w:p>
            <w:r>
              <w:rPr>
                <w:rFonts w:ascii="Arial" w:hAnsi="Arial"/>
                <w:sz w:val="18"/>
              </w:rPr>
              <w:t>0.74</w:t>
            </w:r>
          </w:p>
        </w:tc>
        <w:tc>
          <w:tcPr>
            <w:tcW w:type="dxa" w:w="1881"/>
          </w:tcPr>
          <w:p>
            <w:r>
              <w:rPr>
                <w:rFonts w:ascii="Arial" w:hAnsi="Arial"/>
                <w:sz w:val="18"/>
              </w:rPr>
              <w:t>0.47</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NK cells</w:t>
            </w:r>
          </w:p>
        </w:tc>
        <w:tc>
          <w:tcPr>
            <w:tcW w:type="dxa" w:w="1881"/>
          </w:tcPr>
          <w:p>
            <w:r>
              <w:rPr>
                <w:rFonts w:ascii="Arial" w:hAnsi="Arial"/>
                <w:sz w:val="18"/>
              </w:rPr>
              <w:t>0.93</w:t>
            </w:r>
          </w:p>
        </w:tc>
        <w:tc>
          <w:tcPr>
            <w:tcW w:type="dxa" w:w="1881"/>
          </w:tcPr>
          <w:p>
            <w:r>
              <w:rPr>
                <w:rFonts w:ascii="Arial" w:hAnsi="Arial"/>
                <w:sz w:val="18"/>
              </w:rPr>
              <w:t>0.76</w:t>
            </w:r>
          </w:p>
        </w:tc>
        <w:tc>
          <w:tcPr>
            <w:tcW w:type="dxa" w:w="1881"/>
          </w:tcPr>
          <w:p>
            <w:r>
              <w:rPr>
                <w:rFonts w:ascii="Arial" w:hAnsi="Arial"/>
                <w:sz w:val="18"/>
              </w:rPr>
              <w:t>—</w:t>
            </w:r>
          </w:p>
        </w:tc>
        <w:tc>
          <w:tcPr>
            <w:tcW w:type="dxa" w:w="1881"/>
          </w:tcPr>
          <w:p>
            <w:r>
              <w:rPr>
                <w:rFonts w:ascii="Arial" w:hAnsi="Arial"/>
                <w:sz w:val="18"/>
              </w:rPr>
              <w:t>—</w:t>
            </w:r>
          </w:p>
        </w:tc>
      </w:tr>
    </w:tbl>
    <w:p>
      <w:r>
        <w:rPr>
          <w:rFonts w:ascii="Arial" w:hAnsi="Arial"/>
          <w:b w:val="0"/>
          <w:color w:val="000000"/>
          <w:sz w:val="22"/>
        </w:rPr>
        <w:t>Table (Section 3.19c). Donor-paired detection power (fraction of 20 replicates significant at one-sided P &lt; 0.05); cells marked — had too few eligible donors.</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3.20 Real-Data Neutral-Drift Calibration on Technical Replicates (v49)</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Table (Section 3.20a); the replication is shown in main-text Fig. 4d.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Metric</w:t>
            </w:r>
          </w:p>
        </w:tc>
        <w:tc>
          <w:tcPr>
            <w:tcW w:type="dxa" w:w="2351"/>
          </w:tcPr>
          <w:p>
            <w:r>
              <w:rPr>
                <w:rFonts w:ascii="Arial" w:hAnsi="Arial"/>
                <w:b/>
                <w:sz w:val="18"/>
              </w:rPr>
              <w:t>Calibration median [IQR]</w:t>
            </w:r>
          </w:p>
        </w:tc>
        <w:tc>
          <w:tcPr>
            <w:tcW w:type="dxa" w:w="2351"/>
          </w:tcPr>
          <w:p>
            <w:r>
              <w:rPr>
                <w:rFonts w:ascii="Arial" w:hAnsi="Arial"/>
                <w:b/>
                <w:sz w:val="18"/>
              </w:rPr>
              <w:t>FPR (k/n)</w:t>
            </w:r>
          </w:p>
        </w:tc>
        <w:tc>
          <w:tcPr>
            <w:tcW w:type="dxa" w:w="2351"/>
          </w:tcPr>
          <w:p>
            <w:r>
              <w:rPr>
                <w:rFonts w:ascii="Arial" w:hAnsi="Arial"/>
                <w:b/>
                <w:sz w:val="18"/>
              </w:rPr>
              <w:t>Wilson 95% CI</w:t>
            </w:r>
          </w:p>
        </w:tc>
      </w:tr>
      <w:tr>
        <w:tc>
          <w:tcPr>
            <w:tcW w:type="dxa" w:w="2351"/>
          </w:tcPr>
          <w:p>
            <w:r>
              <w:rPr>
                <w:rFonts w:ascii="Arial" w:hAnsi="Arial"/>
                <w:sz w:val="18"/>
              </w:rPr>
              <w:t>k_n</w:t>
            </w:r>
          </w:p>
        </w:tc>
        <w:tc>
          <w:tcPr>
            <w:tcW w:type="dxa" w:w="2351"/>
          </w:tcPr>
          <w:p>
            <w:r>
              <w:rPr>
                <w:rFonts w:ascii="Arial" w:hAnsi="Arial"/>
                <w:sz w:val="18"/>
              </w:rPr>
              <w:t>0.993 [0.949, 1.030]</w:t>
            </w:r>
          </w:p>
        </w:tc>
        <w:tc>
          <w:tcPr>
            <w:tcW w:type="dxa" w:w="2351"/>
          </w:tcPr>
          <w:p>
            <w:r>
              <w:rPr>
                <w:rFonts w:ascii="Arial" w:hAnsi="Arial"/>
                <w:sz w:val="18"/>
              </w:rPr>
              <w:t>1/30</w:t>
            </w:r>
          </w:p>
        </w:tc>
        <w:tc>
          <w:tcPr>
            <w:tcW w:type="dxa" w:w="2351"/>
          </w:tcPr>
          <w:p>
            <w:r>
              <w:rPr>
                <w:rFonts w:ascii="Arial" w:hAnsi="Arial"/>
                <w:sz w:val="18"/>
              </w:rPr>
              <w:t>[0.006, 0.167]</w:t>
            </w:r>
          </w:p>
        </w:tc>
      </w:tr>
      <w:tr>
        <w:tc>
          <w:tcPr>
            <w:tcW w:type="dxa" w:w="2351"/>
          </w:tcPr>
          <w:p>
            <w:r>
              <w:rPr>
                <w:rFonts w:ascii="Arial" w:hAnsi="Arial"/>
                <w:sz w:val="18"/>
              </w:rPr>
              <w:t>k_f</w:t>
            </w:r>
          </w:p>
        </w:tc>
        <w:tc>
          <w:tcPr>
            <w:tcW w:type="dxa" w:w="2351"/>
          </w:tcPr>
          <w:p>
            <w:r>
              <w:rPr>
                <w:rFonts w:ascii="Arial" w:hAnsi="Arial"/>
                <w:sz w:val="18"/>
              </w:rPr>
              <w:t>0.936 [0.908, 0.977]</w:t>
            </w:r>
          </w:p>
        </w:tc>
        <w:tc>
          <w:tcPr>
            <w:tcW w:type="dxa" w:w="2351"/>
          </w:tcPr>
          <w:p>
            <w:r>
              <w:rPr>
                <w:rFonts w:ascii="Arial" w:hAnsi="Arial"/>
                <w:sz w:val="18"/>
              </w:rPr>
              <w:t>0/30</w:t>
            </w:r>
          </w:p>
        </w:tc>
        <w:tc>
          <w:tcPr>
            <w:tcW w:type="dxa" w:w="2351"/>
          </w:tcPr>
          <w:p>
            <w:r>
              <w:rPr>
                <w:rFonts w:ascii="Arial" w:hAnsi="Arial"/>
                <w:sz w:val="18"/>
              </w:rPr>
              <w:t>[0.000, 0.114]</w:t>
            </w:r>
          </w:p>
        </w:tc>
      </w:tr>
      <w:tr>
        <w:tc>
          <w:tcPr>
            <w:tcW w:type="dxa" w:w="2351"/>
          </w:tcPr>
          <w:p>
            <w:r>
              <w:rPr>
                <w:rFonts w:ascii="Arial" w:hAnsi="Arial"/>
                <w:sz w:val="18"/>
              </w:rPr>
              <w:t>ω</w:t>
            </w:r>
          </w:p>
        </w:tc>
        <w:tc>
          <w:tcPr>
            <w:tcW w:type="dxa" w:w="2351"/>
          </w:tcPr>
          <w:p>
            <w:r>
              <w:rPr>
                <w:rFonts w:ascii="Arial" w:hAnsi="Arial"/>
                <w:sz w:val="18"/>
              </w:rPr>
              <w:t>0.963 [0.918, 0.998]</w:t>
            </w:r>
          </w:p>
        </w:tc>
        <w:tc>
          <w:tcPr>
            <w:tcW w:type="dxa" w:w="2351"/>
          </w:tcPr>
          <w:p>
            <w:r>
              <w:rPr>
                <w:rFonts w:ascii="Arial" w:hAnsi="Arial"/>
                <w:sz w:val="18"/>
              </w:rPr>
              <w:t>0/30</w:t>
            </w:r>
          </w:p>
        </w:tc>
        <w:tc>
          <w:tcPr>
            <w:tcW w:type="dxa" w:w="2351"/>
          </w:tcPr>
          <w:p>
            <w:r>
              <w:rPr>
                <w:rFonts w:ascii="Arial" w:hAnsi="Arial"/>
                <w:sz w:val="18"/>
              </w:rPr>
              <w:t>[0.000, 0.114]</w:t>
            </w:r>
          </w:p>
        </w:tc>
      </w:tr>
      <w:tr>
        <w:tc>
          <w:tcPr>
            <w:tcW w:type="dxa" w:w="2351"/>
          </w:tcPr>
          <w:p>
            <w:r>
              <w:rPr>
                <w:rFonts w:ascii="Arial" w:hAnsi="Arial"/>
                <w:sz w:val="18"/>
              </w:rPr>
              <w:t>raw JS</w:t>
            </w:r>
          </w:p>
        </w:tc>
        <w:tc>
          <w:tcPr>
            <w:tcW w:type="dxa" w:w="2351"/>
          </w:tcPr>
          <w:p>
            <w:r>
              <w:rPr>
                <w:rFonts w:ascii="Arial" w:hAnsi="Arial"/>
                <w:sz w:val="18"/>
              </w:rPr>
              <w:t>1.019 [0.991, 1.077]</w:t>
            </w:r>
          </w:p>
        </w:tc>
        <w:tc>
          <w:tcPr>
            <w:tcW w:type="dxa" w:w="2351"/>
          </w:tcPr>
          <w:p>
            <w:r>
              <w:rPr>
                <w:rFonts w:ascii="Arial" w:hAnsi="Arial"/>
                <w:sz w:val="18"/>
              </w:rPr>
              <w:t>11/30</w:t>
            </w:r>
          </w:p>
        </w:tc>
        <w:tc>
          <w:tcPr>
            <w:tcW w:type="dxa" w:w="2351"/>
          </w:tcPr>
          <w:p>
            <w:r>
              <w:rPr>
                <w:rFonts w:ascii="Arial" w:hAnsi="Arial"/>
                <w:sz w:val="18"/>
              </w:rPr>
              <w:t>[0.219, 0.545]</w:t>
            </w:r>
          </w:p>
        </w:tc>
      </w:tr>
      <w:tr>
        <w:tc>
          <w:tcPr>
            <w:tcW w:type="dxa" w:w="2351"/>
          </w:tcPr>
          <w:p>
            <w:r>
              <w:rPr>
                <w:rFonts w:ascii="Arial" w:hAnsi="Arial"/>
                <w:sz w:val="18"/>
              </w:rPr>
              <w:t>cosine</w:t>
            </w:r>
          </w:p>
        </w:tc>
        <w:tc>
          <w:tcPr>
            <w:tcW w:type="dxa" w:w="2351"/>
          </w:tcPr>
          <w:p>
            <w:r>
              <w:rPr>
                <w:rFonts w:ascii="Arial" w:hAnsi="Arial"/>
                <w:sz w:val="18"/>
              </w:rPr>
              <w:t>1.006 [0.993, 1.025]</w:t>
            </w:r>
          </w:p>
        </w:tc>
        <w:tc>
          <w:tcPr>
            <w:tcW w:type="dxa" w:w="2351"/>
          </w:tcPr>
          <w:p>
            <w:r>
              <w:rPr>
                <w:rFonts w:ascii="Arial" w:hAnsi="Arial"/>
                <w:sz w:val="18"/>
              </w:rPr>
              <w:t>7/30</w:t>
            </w:r>
          </w:p>
        </w:tc>
        <w:tc>
          <w:tcPr>
            <w:tcW w:type="dxa" w:w="2351"/>
          </w:tcPr>
          <w:p>
            <w:r>
              <w:rPr>
                <w:rFonts w:ascii="Arial" w:hAnsi="Arial"/>
                <w:sz w:val="18"/>
              </w:rPr>
              <w:t>[0.118, 0.409]</w:t>
            </w:r>
          </w:p>
        </w:tc>
      </w:tr>
    </w:tbl>
    <w:p>
      <w:r>
        <w:rPr>
          <w:rFonts w:ascii="Arial" w:hAnsi="Arial"/>
          <w:b w:val="0"/>
          <w:color w:val="000000"/>
          <w:sz w:val="22"/>
        </w:rPr>
        <w:t>Table (Section 3.20a). Kang batch 1, 30 same-donor, same-condition cross-lane pairs. Calibration = observed / own n-matched null median (B = 200 per pair); FPR = fraction of pairs whose observed value exceeds its own null 95th percentile.</w:t>
      </w:r>
    </w:p>
    <w:p>
      <w:r>
        <w:rPr>
          <w:rFonts w:ascii="Arial" w:hAnsi="Arial"/>
          <w:b w:val="0"/>
          <w:color w:val="000000"/>
          <w:sz w:val="22"/>
        </w:rPr>
        <w:t>Brain drift ladder. On T1 (pure technical drift), ω had the lowest misreporting rate of the seven metrics except marker Jaccard (FPR 28.6%, versus 45.2% for raw JS, 44.1% for cosine, 40.6% for Spearman, 37.6% for k_f, and 35.7% for k_n), and ω was below raw JS in 10 of 10 cell classes (below cosine in 9 of 10, below Spearman in 8 of 10; per-class raw-JS-to-ω FPR ratios 1.2-2.3). At T2 (donor drift), all metrics fired on most pairs - donor differences contain real biology - and ω again misreported least among the divergence metrics (90.9% versus 98.4% for raw JS and 98.7% for k_f;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Marker Jaccard distance has the lowest T1 FPR (19.9%) but the weakest response to genuine regional divergence (T3 calibration 1.41 versus 1.80 for ω and 2.98 for raw JS), so its apparent specificity is purchased with the weakest sensitivity to real signal. Per-tier values for all seven metrics are given in Table (Section 3.20b); main-text Fig. 4b,c.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Metric</w:t>
            </w:r>
          </w:p>
        </w:tc>
        <w:tc>
          <w:tcPr>
            <w:tcW w:type="dxa" w:w="2351"/>
          </w:tcPr>
          <w:p>
            <w:r>
              <w:rPr>
                <w:rFonts w:ascii="Arial" w:hAnsi="Arial"/>
                <w:b/>
                <w:sz w:val="18"/>
              </w:rPr>
              <w:t>T1 cal [IQR] / FPR</w:t>
            </w:r>
          </w:p>
        </w:tc>
        <w:tc>
          <w:tcPr>
            <w:tcW w:type="dxa" w:w="2351"/>
          </w:tcPr>
          <w:p>
            <w:r>
              <w:rPr>
                <w:rFonts w:ascii="Arial" w:hAnsi="Arial"/>
                <w:b/>
                <w:sz w:val="18"/>
              </w:rPr>
              <w:t>T2 cal [IQR] / FPR</w:t>
            </w:r>
          </w:p>
        </w:tc>
        <w:tc>
          <w:tcPr>
            <w:tcW w:type="dxa" w:w="2351"/>
          </w:tcPr>
          <w:p>
            <w:r>
              <w:rPr>
                <w:rFonts w:ascii="Arial" w:hAnsi="Arial"/>
                <w:b/>
                <w:sz w:val="18"/>
              </w:rPr>
              <w:t>T3 cal [IQR] / FPR</w:t>
            </w:r>
          </w:p>
        </w:tc>
      </w:tr>
      <w:tr>
        <w:tc>
          <w:tcPr>
            <w:tcW w:type="dxa" w:w="2351"/>
          </w:tcPr>
          <w:p>
            <w:r>
              <w:rPr>
                <w:rFonts w:ascii="Arial" w:hAnsi="Arial"/>
                <w:sz w:val="18"/>
              </w:rPr>
              <w:t>k_n</w:t>
            </w:r>
          </w:p>
        </w:tc>
        <w:tc>
          <w:tcPr>
            <w:tcW w:type="dxa" w:w="2351"/>
          </w:tcPr>
          <w:p>
            <w:r>
              <w:rPr>
                <w:rFonts w:ascii="Arial" w:hAnsi="Arial"/>
                <w:sz w:val="18"/>
              </w:rPr>
              <w:t>1.05 [0.99, 1.17] / 35.7%</w:t>
            </w:r>
          </w:p>
        </w:tc>
        <w:tc>
          <w:tcPr>
            <w:tcW w:type="dxa" w:w="2351"/>
          </w:tcPr>
          <w:p>
            <w:r>
              <w:rPr>
                <w:rFonts w:ascii="Arial" w:hAnsi="Arial"/>
                <w:sz w:val="18"/>
              </w:rPr>
              <w:t>1.69 [1.21, 2.98] / 88.6%</w:t>
            </w:r>
          </w:p>
        </w:tc>
        <w:tc>
          <w:tcPr>
            <w:tcW w:type="dxa" w:w="2351"/>
          </w:tcPr>
          <w:p>
            <w:r>
              <w:rPr>
                <w:rFonts w:ascii="Arial" w:hAnsi="Arial"/>
                <w:sz w:val="18"/>
              </w:rPr>
              <w:t>1.49 [1.19, 2.15] / 84.8%</w:t>
            </w:r>
          </w:p>
        </w:tc>
      </w:tr>
      <w:tr>
        <w:tc>
          <w:tcPr>
            <w:tcW w:type="dxa" w:w="2351"/>
          </w:tcPr>
          <w:p>
            <w:r>
              <w:rPr>
                <w:rFonts w:ascii="Arial" w:hAnsi="Arial"/>
                <w:sz w:val="18"/>
              </w:rPr>
              <w:t>k_f</w:t>
            </w:r>
          </w:p>
        </w:tc>
        <w:tc>
          <w:tcPr>
            <w:tcW w:type="dxa" w:w="2351"/>
          </w:tcPr>
          <w:p>
            <w:r>
              <w:rPr>
                <w:rFonts w:ascii="Arial" w:hAnsi="Arial"/>
                <w:sz w:val="18"/>
              </w:rPr>
              <w:t>1.05 [0.99, 1.43] / 37.6%</w:t>
            </w:r>
          </w:p>
        </w:tc>
        <w:tc>
          <w:tcPr>
            <w:tcW w:type="dxa" w:w="2351"/>
          </w:tcPr>
          <w:p>
            <w:r>
              <w:rPr>
                <w:rFonts w:ascii="Arial" w:hAnsi="Arial"/>
                <w:sz w:val="18"/>
              </w:rPr>
              <w:t>3.22 [1.85, 7.06] / 98.7%</w:t>
            </w:r>
          </w:p>
        </w:tc>
        <w:tc>
          <w:tcPr>
            <w:tcW w:type="dxa" w:w="2351"/>
          </w:tcPr>
          <w:p>
            <w:r>
              <w:rPr>
                <w:rFonts w:ascii="Arial" w:hAnsi="Arial"/>
                <w:sz w:val="18"/>
              </w:rPr>
              <w:t>2.88 [1.76, 5.67] / 94.2%</w:t>
            </w:r>
          </w:p>
        </w:tc>
      </w:tr>
      <w:tr>
        <w:tc>
          <w:tcPr>
            <w:tcW w:type="dxa" w:w="2351"/>
          </w:tcPr>
          <w:p>
            <w:r>
              <w:rPr>
                <w:rFonts w:ascii="Arial" w:hAnsi="Arial"/>
                <w:sz w:val="18"/>
              </w:rPr>
              <w:t>ω</w:t>
            </w:r>
          </w:p>
        </w:tc>
        <w:tc>
          <w:tcPr>
            <w:tcW w:type="dxa" w:w="2351"/>
          </w:tcPr>
          <w:p>
            <w:r>
              <w:rPr>
                <w:rFonts w:ascii="Arial" w:hAnsi="Arial"/>
                <w:sz w:val="18"/>
              </w:rPr>
              <w:t>1.04 [0.97, 1.21] / 28.6%</w:t>
            </w:r>
          </w:p>
        </w:tc>
        <w:tc>
          <w:tcPr>
            <w:tcW w:type="dxa" w:w="2351"/>
          </w:tcPr>
          <w:p>
            <w:r>
              <w:rPr>
                <w:rFonts w:ascii="Arial" w:hAnsi="Arial"/>
                <w:sz w:val="18"/>
              </w:rPr>
              <w:t>1.76 [1.38, 2.49] / 90.9%</w:t>
            </w:r>
          </w:p>
        </w:tc>
        <w:tc>
          <w:tcPr>
            <w:tcW w:type="dxa" w:w="2351"/>
          </w:tcPr>
          <w:p>
            <w:r>
              <w:rPr>
                <w:rFonts w:ascii="Arial" w:hAnsi="Arial"/>
                <w:sz w:val="18"/>
              </w:rPr>
              <w:t>1.80 [1.34, 2.79] / 84.8%</w:t>
            </w:r>
          </w:p>
        </w:tc>
      </w:tr>
      <w:tr>
        <w:tc>
          <w:tcPr>
            <w:tcW w:type="dxa" w:w="2351"/>
          </w:tcPr>
          <w:p>
            <w:r>
              <w:rPr>
                <w:rFonts w:ascii="Arial" w:hAnsi="Arial"/>
                <w:sz w:val="18"/>
              </w:rPr>
              <w:t>raw JS</w:t>
            </w:r>
          </w:p>
        </w:tc>
        <w:tc>
          <w:tcPr>
            <w:tcW w:type="dxa" w:w="2351"/>
          </w:tcPr>
          <w:p>
            <w:r>
              <w:rPr>
                <w:rFonts w:ascii="Arial" w:hAnsi="Arial"/>
                <w:sz w:val="18"/>
              </w:rPr>
              <w:t>1.07 [1.01, 1.52] / 45.2%</w:t>
            </w:r>
          </w:p>
        </w:tc>
        <w:tc>
          <w:tcPr>
            <w:tcW w:type="dxa" w:w="2351"/>
          </w:tcPr>
          <w:p>
            <w:r>
              <w:rPr>
                <w:rFonts w:ascii="Arial" w:hAnsi="Arial"/>
                <w:sz w:val="18"/>
              </w:rPr>
              <w:t>3.32 [1.87, 7.44] / 98.4%</w:t>
            </w:r>
          </w:p>
        </w:tc>
        <w:tc>
          <w:tcPr>
            <w:tcW w:type="dxa" w:w="2351"/>
          </w:tcPr>
          <w:p>
            <w:r>
              <w:rPr>
                <w:rFonts w:ascii="Arial" w:hAnsi="Arial"/>
                <w:sz w:val="18"/>
              </w:rPr>
              <w:t>2.98 [1.90, 6.14] / 96.8%</w:t>
            </w:r>
          </w:p>
        </w:tc>
      </w:tr>
      <w:tr>
        <w:tc>
          <w:tcPr>
            <w:tcW w:type="dxa" w:w="2351"/>
          </w:tcPr>
          <w:p>
            <w:r>
              <w:rPr>
                <w:rFonts w:ascii="Arial" w:hAnsi="Arial"/>
                <w:sz w:val="18"/>
              </w:rPr>
              <w:t>cosine</w:t>
            </w:r>
          </w:p>
        </w:tc>
        <w:tc>
          <w:tcPr>
            <w:tcW w:type="dxa" w:w="2351"/>
          </w:tcPr>
          <w:p>
            <w:r>
              <w:rPr>
                <w:rFonts w:ascii="Arial" w:hAnsi="Arial"/>
                <w:sz w:val="18"/>
              </w:rPr>
              <w:t>1.04 [1.00, 1.26] / 44.1%</w:t>
            </w:r>
          </w:p>
        </w:tc>
        <w:tc>
          <w:tcPr>
            <w:tcW w:type="dxa" w:w="2351"/>
          </w:tcPr>
          <w:p>
            <w:r>
              <w:rPr>
                <w:rFonts w:ascii="Arial" w:hAnsi="Arial"/>
                <w:sz w:val="18"/>
              </w:rPr>
              <w:t>2.28 [1.42, 4.51] / 97.8%</w:t>
            </w:r>
          </w:p>
        </w:tc>
        <w:tc>
          <w:tcPr>
            <w:tcW w:type="dxa" w:w="2351"/>
          </w:tcPr>
          <w:p>
            <w:r>
              <w:rPr>
                <w:rFonts w:ascii="Arial" w:hAnsi="Arial"/>
                <w:sz w:val="18"/>
              </w:rPr>
              <w:t>2.00 [1.45, 3.60] / 95.5%</w:t>
            </w:r>
          </w:p>
        </w:tc>
      </w:tr>
      <w:tr>
        <w:tc>
          <w:tcPr>
            <w:tcW w:type="dxa" w:w="2351"/>
          </w:tcPr>
          <w:p>
            <w:r>
              <w:rPr>
                <w:rFonts w:ascii="Arial" w:hAnsi="Arial"/>
                <w:sz w:val="18"/>
              </w:rPr>
              <w:t>Spearman</w:t>
            </w:r>
          </w:p>
        </w:tc>
        <w:tc>
          <w:tcPr>
            <w:tcW w:type="dxa" w:w="2351"/>
          </w:tcPr>
          <w:p>
            <w:r>
              <w:rPr>
                <w:rFonts w:ascii="Arial" w:hAnsi="Arial"/>
                <w:sz w:val="18"/>
              </w:rPr>
              <w:t>1.03 [1.00, 1.18] / 40.6%</w:t>
            </w:r>
          </w:p>
        </w:tc>
        <w:tc>
          <w:tcPr>
            <w:tcW w:type="dxa" w:w="2351"/>
          </w:tcPr>
          <w:p>
            <w:r>
              <w:rPr>
                <w:rFonts w:ascii="Arial" w:hAnsi="Arial"/>
                <w:sz w:val="18"/>
              </w:rPr>
              <w:t>1.79 [1.23, 3.12] / 96.4%</w:t>
            </w:r>
          </w:p>
        </w:tc>
        <w:tc>
          <w:tcPr>
            <w:tcW w:type="dxa" w:w="2351"/>
          </w:tcPr>
          <w:p>
            <w:r>
              <w:rPr>
                <w:rFonts w:ascii="Arial" w:hAnsi="Arial"/>
                <w:sz w:val="18"/>
              </w:rPr>
              <w:t>1.57 [1.26, 2.36] / 95.2%</w:t>
            </w:r>
          </w:p>
        </w:tc>
      </w:tr>
      <w:tr>
        <w:tc>
          <w:tcPr>
            <w:tcW w:type="dxa" w:w="2351"/>
          </w:tcPr>
          <w:p>
            <w:r>
              <w:rPr>
                <w:rFonts w:ascii="Arial" w:hAnsi="Arial"/>
                <w:sz w:val="18"/>
              </w:rPr>
              <w:t>marker Jaccard</w:t>
            </w:r>
          </w:p>
        </w:tc>
        <w:tc>
          <w:tcPr>
            <w:tcW w:type="dxa" w:w="2351"/>
          </w:tcPr>
          <w:p>
            <w:r>
              <w:rPr>
                <w:rFonts w:ascii="Arial" w:hAnsi="Arial"/>
                <w:sz w:val="18"/>
              </w:rPr>
              <w:t>1.05 [0.96, 1.21] / 19.9%</w:t>
            </w:r>
          </w:p>
        </w:tc>
        <w:tc>
          <w:tcPr>
            <w:tcW w:type="dxa" w:w="2351"/>
          </w:tcPr>
          <w:p>
            <w:r>
              <w:rPr>
                <w:rFonts w:ascii="Arial" w:hAnsi="Arial"/>
                <w:sz w:val="18"/>
              </w:rPr>
              <w:t>1.39 [1.16, 1.83] / 74.7%</w:t>
            </w:r>
          </w:p>
        </w:tc>
        <w:tc>
          <w:tcPr>
            <w:tcW w:type="dxa" w:w="2351"/>
          </w:tcPr>
          <w:p>
            <w:r>
              <w:rPr>
                <w:rFonts w:ascii="Arial" w:hAnsi="Arial"/>
                <w:sz w:val="18"/>
              </w:rPr>
              <w:t>1.41 [1.19, 1.81] / 80.1%</w:t>
            </w:r>
          </w:p>
        </w:tc>
      </w:tr>
    </w:tbl>
    <w:p>
      <w:r>
        <w:rPr>
          <w:rFonts w:ascii="Arial" w:hAnsi="Arial"/>
          <w:b w:val="0"/>
          <w:color w:val="000000"/>
          <w:sz w:val="22"/>
        </w:rPr>
        <w:t>Table (Section 3.20b). Brain drift ladder, per tier and metric: calibration median [IQR] (observed / own n-matched null median) and FPR (observed &gt; own null 95th percentile). T1: same (donor, region) cross-library pairs, n = 2,161; T2: same region cross-donor pairs, n = 1,089; T3: same donor cross-region pairs, n = 1,656.</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The simulation-level claim of absolute neutral-drift immunity (Supplementary Note 1) thus transfers to real data only as a relative-calibration advantage: lowest misreporting among the compared metrics at every tier, with sensitivity to genuine regional divergence preserved.</w:t>
      </w:r>
    </w:p>
    <w:p>
      <w:r>
        <w:rPr>
          <w:rFonts w:ascii="Arial" w:hAnsi="Arial"/>
          <w:b/>
          <w:color w:val="000000"/>
          <w:sz w:val="22"/>
        </w:rPr>
        <w:t>3.21 Per-Sample Divergence and Group Statistics for TCGA (v49)</w:t>
      </w:r>
    </w:p>
    <w:p>
      <w:r>
        <w:rPr>
          <w:rFonts w:ascii="Arial" w:hAnsi="Arial"/>
          <w:b w:val="0"/>
          <w:color w:val="000000"/>
          <w:sz w:val="22"/>
        </w:rPr>
        <w:t>Purpose and design. The main-text TCGA analysis (Results: A pan-cancer map of tissue-level functional divergence in tumors; Methods: Per-sample divergence and group statistics) ranks cancer types by the NN/TT ratio of mean ω, stratifies LUAD tumors by driver mutation, and tests survival association in LIHC. This section reports the full group statistics behind those claims. Per-tumor statistics are the mean of ω, k_f, and k_n over all pairs in the linear-normalization pair table (35,306 pairs; v44 re-computation) in which a sample participates. Group-level ratios carry sample-level cluster bootstrap 95% CIs (B = 1,000; seed 42; tumor and normal samples resampled with replacement independently, each pair reweighted by the product of its endpoint resampling weights). LUAD driver groups (61 EGFR, 120 KRAS, 311 wild-type; 2 double mutants excluded) were tested with Kruskal-Wallis followed by Dunn post-hoc tests with Holm correction (manual implementation, tie-corrected rank variances); group mean differences carry within-group bootstrap 95% CIs (B = 1,000). The LIHC survival analysis used Cox proportional-hazards regression (statsmodels PHReg) with per-tumor ω standardized to unit SD (hazard ratios per SD), adjusted for AJCC stage (I-IV), Edmondson grade (G1-G4), age, and sex (listwise deletion of missing covariates), with k_f-only, k_n-only, and tumor-normal-ω exposures as sensitivity models. Scripts: notebooks/nc49_tcga_main.py (seed 42), notebooks/nc49_pilot_lihc_cox.py; outputs: results/nc49_tcga_pancancer.csv, results/nc49_tcga_luad_mutation.csv, results/nc49_pilot_lihc_cox.csv.</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w:t>
            </w:r>
          </w:p>
        </w:tc>
        <w:tc>
          <w:tcPr>
            <w:tcW w:type="dxa" w:w="1881"/>
          </w:tcPr>
          <w:p>
            <w:r>
              <w:rPr>
                <w:rFonts w:ascii="Arial" w:hAnsi="Arial"/>
                <w:b/>
                <w:sz w:val="18"/>
              </w:rPr>
              <w:t>NN/TT ω ratio [95% CI]</w:t>
            </w:r>
          </w:p>
        </w:tc>
        <w:tc>
          <w:tcPr>
            <w:tcW w:type="dxa" w:w="1881"/>
          </w:tcPr>
          <w:p>
            <w:r>
              <w:rPr>
                <w:rFonts w:ascii="Arial" w:hAnsi="Arial"/>
                <w:b/>
                <w:sz w:val="18"/>
              </w:rPr>
              <w:t>MWU P</w:t>
            </w:r>
          </w:p>
        </w:tc>
        <w:tc>
          <w:tcPr>
            <w:tcW w:type="dxa" w:w="1881"/>
          </w:tcPr>
          <w:p>
            <w:r>
              <w:rPr>
                <w:rFonts w:ascii="Arial" w:hAnsi="Arial"/>
                <w:b/>
                <w:sz w:val="18"/>
              </w:rPr>
              <w:t>k_n TT/NN median</w:t>
            </w:r>
          </w:p>
        </w:tc>
        <w:tc>
          <w:tcPr>
            <w:tcW w:type="dxa" w:w="1881"/>
          </w:tcPr>
          <w:p>
            <w:r>
              <w:rPr>
                <w:rFonts w:ascii="Arial" w:hAnsi="Arial"/>
                <w:b/>
                <w:sz w:val="18"/>
              </w:rPr>
              <w:t>k_n mean ratio [95% CI]</w:t>
            </w:r>
          </w:p>
        </w:tc>
      </w:tr>
      <w:tr>
        <w:tc>
          <w:tcPr>
            <w:tcW w:type="dxa" w:w="1881"/>
          </w:tcPr>
          <w:p>
            <w:r>
              <w:rPr>
                <w:rFonts w:ascii="Arial" w:hAnsi="Arial"/>
                <w:sz w:val="18"/>
              </w:rPr>
              <w:t>LUAD</w:t>
            </w:r>
          </w:p>
        </w:tc>
        <w:tc>
          <w:tcPr>
            <w:tcW w:type="dxa" w:w="1881"/>
          </w:tcPr>
          <w:p>
            <w:r>
              <w:rPr>
                <w:rFonts w:ascii="Arial" w:hAnsi="Arial"/>
                <w:sz w:val="18"/>
              </w:rPr>
              <w:t>2.46 [2.13, 2.86]</w:t>
            </w:r>
          </w:p>
        </w:tc>
        <w:tc>
          <w:tcPr>
            <w:tcW w:type="dxa" w:w="1881"/>
          </w:tcPr>
          <w:p>
            <w:r>
              <w:rPr>
                <w:rFonts w:ascii="Arial" w:hAnsi="Arial"/>
                <w:sz w:val="18"/>
              </w:rPr>
              <w:t>&lt; 10⁻³⁰⁰</w:t>
            </w:r>
          </w:p>
        </w:tc>
        <w:tc>
          <w:tcPr>
            <w:tcW w:type="dxa" w:w="1881"/>
          </w:tcPr>
          <w:p>
            <w:r>
              <w:rPr>
                <w:rFonts w:ascii="Arial" w:hAnsi="Arial"/>
                <w:sz w:val="18"/>
              </w:rPr>
              <w:t>2.6×</w:t>
            </w:r>
          </w:p>
        </w:tc>
        <w:tc>
          <w:tcPr>
            <w:tcW w:type="dxa" w:w="1881"/>
          </w:tcPr>
          <w:p>
            <w:r>
              <w:rPr>
                <w:rFonts w:ascii="Arial" w:hAnsi="Arial"/>
                <w:sz w:val="18"/>
              </w:rPr>
              <w:t>2.55 [2.09, 3.31]</w:t>
            </w:r>
          </w:p>
        </w:tc>
      </w:tr>
      <w:tr>
        <w:tc>
          <w:tcPr>
            <w:tcW w:type="dxa" w:w="1881"/>
          </w:tcPr>
          <w:p>
            <w:r>
              <w:rPr>
                <w:rFonts w:ascii="Arial" w:hAnsi="Arial"/>
                <w:sz w:val="18"/>
              </w:rPr>
              <w:t>KIRC</w:t>
            </w:r>
          </w:p>
        </w:tc>
        <w:tc>
          <w:tcPr>
            <w:tcW w:type="dxa" w:w="1881"/>
          </w:tcPr>
          <w:p>
            <w:r>
              <w:rPr>
                <w:rFonts w:ascii="Arial" w:hAnsi="Arial"/>
                <w:sz w:val="18"/>
              </w:rPr>
              <w:t>1.90 [1.65, 2.17]</w:t>
            </w:r>
          </w:p>
        </w:tc>
        <w:tc>
          <w:tcPr>
            <w:tcW w:type="dxa" w:w="1881"/>
          </w:tcPr>
          <w:p>
            <w:r>
              <w:rPr>
                <w:rFonts w:ascii="Arial" w:hAnsi="Arial"/>
                <w:sz w:val="18"/>
              </w:rPr>
              <w:t>1.2×10⁻²³⁸</w:t>
            </w:r>
          </w:p>
        </w:tc>
        <w:tc>
          <w:tcPr>
            <w:tcW w:type="dxa" w:w="1881"/>
          </w:tcPr>
          <w:p>
            <w:r>
              <w:rPr>
                <w:rFonts w:ascii="Arial" w:hAnsi="Arial"/>
                <w:sz w:val="18"/>
              </w:rPr>
              <w:t>3.6×</w:t>
            </w:r>
          </w:p>
        </w:tc>
        <w:tc>
          <w:tcPr>
            <w:tcW w:type="dxa" w:w="1881"/>
          </w:tcPr>
          <w:p>
            <w:r>
              <w:rPr>
                <w:rFonts w:ascii="Arial" w:hAnsi="Arial"/>
                <w:sz w:val="18"/>
              </w:rPr>
              <w:t>3.21 [2.51, 4.28]</w:t>
            </w:r>
          </w:p>
        </w:tc>
      </w:tr>
      <w:tr>
        <w:tc>
          <w:tcPr>
            <w:tcW w:type="dxa" w:w="1881"/>
          </w:tcPr>
          <w:p>
            <w:r>
              <w:rPr>
                <w:rFonts w:ascii="Arial" w:hAnsi="Arial"/>
                <w:sz w:val="18"/>
              </w:rPr>
              <w:t>LUSC</w:t>
            </w:r>
          </w:p>
        </w:tc>
        <w:tc>
          <w:tcPr>
            <w:tcW w:type="dxa" w:w="1881"/>
          </w:tcPr>
          <w:p>
            <w:r>
              <w:rPr>
                <w:rFonts w:ascii="Arial" w:hAnsi="Arial"/>
                <w:sz w:val="18"/>
              </w:rPr>
              <w:t>1.82 [1.46, 2.25]</w:t>
            </w:r>
          </w:p>
        </w:tc>
        <w:tc>
          <w:tcPr>
            <w:tcW w:type="dxa" w:w="1881"/>
          </w:tcPr>
          <w:p>
            <w:r>
              <w:rPr>
                <w:rFonts w:ascii="Arial" w:hAnsi="Arial"/>
                <w:sz w:val="18"/>
              </w:rPr>
              <w:t>2.6×10⁻⁷⁵</w:t>
            </w:r>
          </w:p>
        </w:tc>
        <w:tc>
          <w:tcPr>
            <w:tcW w:type="dxa" w:w="1881"/>
          </w:tcPr>
          <w:p>
            <w:r>
              <w:rPr>
                <w:rFonts w:ascii="Arial" w:hAnsi="Arial"/>
                <w:sz w:val="18"/>
              </w:rPr>
              <w:t>2.7×</w:t>
            </w:r>
          </w:p>
        </w:tc>
        <w:tc>
          <w:tcPr>
            <w:tcW w:type="dxa" w:w="1881"/>
          </w:tcPr>
          <w:p>
            <w:r>
              <w:rPr>
                <w:rFonts w:ascii="Arial" w:hAnsi="Arial"/>
                <w:sz w:val="18"/>
              </w:rPr>
              <w:t>2.10 [1.62, 2.94]</w:t>
            </w:r>
          </w:p>
        </w:tc>
      </w:tr>
      <w:tr>
        <w:tc>
          <w:tcPr>
            <w:tcW w:type="dxa" w:w="1881"/>
          </w:tcPr>
          <w:p>
            <w:r>
              <w:rPr>
                <w:rFonts w:ascii="Arial" w:hAnsi="Arial"/>
                <w:sz w:val="18"/>
              </w:rPr>
              <w:t>BRCA</w:t>
            </w:r>
          </w:p>
        </w:tc>
        <w:tc>
          <w:tcPr>
            <w:tcW w:type="dxa" w:w="1881"/>
          </w:tcPr>
          <w:p>
            <w:r>
              <w:rPr>
                <w:rFonts w:ascii="Arial" w:hAnsi="Arial"/>
                <w:sz w:val="18"/>
              </w:rPr>
              <w:t>1.57 [1.35, 1.83]</w:t>
            </w:r>
          </w:p>
        </w:tc>
        <w:tc>
          <w:tcPr>
            <w:tcW w:type="dxa" w:w="1881"/>
          </w:tcPr>
          <w:p>
            <w:r>
              <w:rPr>
                <w:rFonts w:ascii="Arial" w:hAnsi="Arial"/>
                <w:sz w:val="18"/>
              </w:rPr>
              <w:t>3.3×10⁻⁴²</w:t>
            </w:r>
          </w:p>
        </w:tc>
        <w:tc>
          <w:tcPr>
            <w:tcW w:type="dxa" w:w="1881"/>
          </w:tcPr>
          <w:p>
            <w:r>
              <w:rPr>
                <w:rFonts w:ascii="Arial" w:hAnsi="Arial"/>
                <w:sz w:val="18"/>
              </w:rPr>
              <w:t>2.8×</w:t>
            </w:r>
          </w:p>
        </w:tc>
        <w:tc>
          <w:tcPr>
            <w:tcW w:type="dxa" w:w="1881"/>
          </w:tcPr>
          <w:p>
            <w:r>
              <w:rPr>
                <w:rFonts w:ascii="Arial" w:hAnsi="Arial"/>
                <w:sz w:val="18"/>
              </w:rPr>
              <w:t>2.27 [1.84, 2.80]</w:t>
            </w:r>
          </w:p>
        </w:tc>
      </w:tr>
      <w:tr>
        <w:tc>
          <w:tcPr>
            <w:tcW w:type="dxa" w:w="1881"/>
          </w:tcPr>
          <w:p>
            <w:r>
              <w:rPr>
                <w:rFonts w:ascii="Arial" w:hAnsi="Arial"/>
                <w:sz w:val="18"/>
              </w:rPr>
              <w:t>LIHC</w:t>
            </w:r>
          </w:p>
        </w:tc>
        <w:tc>
          <w:tcPr>
            <w:tcW w:type="dxa" w:w="1881"/>
          </w:tcPr>
          <w:p>
            <w:r>
              <w:rPr>
                <w:rFonts w:ascii="Arial" w:hAnsi="Arial"/>
                <w:sz w:val="18"/>
              </w:rPr>
              <w:t>1.13 [0.97, 1.34]</w:t>
            </w:r>
          </w:p>
        </w:tc>
        <w:tc>
          <w:tcPr>
            <w:tcW w:type="dxa" w:w="1881"/>
          </w:tcPr>
          <w:p>
            <w:r>
              <w:rPr>
                <w:rFonts w:ascii="Arial" w:hAnsi="Arial"/>
                <w:sz w:val="18"/>
              </w:rPr>
              <w:t>0.010</w:t>
            </w:r>
          </w:p>
        </w:tc>
        <w:tc>
          <w:tcPr>
            <w:tcW w:type="dxa" w:w="1881"/>
          </w:tcPr>
          <w:p>
            <w:r>
              <w:rPr>
                <w:rFonts w:ascii="Arial" w:hAnsi="Arial"/>
                <w:sz w:val="18"/>
              </w:rPr>
              <w:t>2.1×</w:t>
            </w:r>
          </w:p>
        </w:tc>
        <w:tc>
          <w:tcPr>
            <w:tcW w:type="dxa" w:w="1881"/>
          </w:tcPr>
          <w:p>
            <w:r>
              <w:rPr>
                <w:rFonts w:ascii="Arial" w:hAnsi="Arial"/>
                <w:sz w:val="18"/>
              </w:rPr>
              <w:t>1.41 [1.08, 1.98]</w:t>
            </w:r>
          </w:p>
        </w:tc>
      </w:tr>
    </w:tbl>
    <w:p>
      <w:r>
        <w:rPr>
          <w:rFonts w:ascii="Arial" w:hAnsi="Arial"/>
          <w:b w:val="0"/>
          <w:color w:val="000000"/>
          <w:sz w:val="22"/>
        </w:rPr>
        <w:t>Table (Section 3.21a). Pan-cancer NN/TT ratios (mean NN to mean TT ω) with sample-level cluster-bootstrap 95% CIs, one-sided Mann-Whitney P (NN &gt; TT), and the housekeeping-baseline mechanism: median and mean TT/NN k_n ratios with bootstrap 95% CIs. The point estimate exceeds 1 in 5 of 5 cancer types; the CI excludes 1 in 4 of 5 (LIHC includes 1), whereas the k_n mean-ratio CI excludes 1 in all five. Ranked by NN/TT effect size (main-text Fig. 5a).</w:t>
      </w:r>
    </w:p>
    <w:p>
      <w:r>
        <w:rPr>
          <w:rFonts w:ascii="Arial" w:hAnsi="Arial"/>
          <w:b w:val="0"/>
          <w:color w:val="000000"/>
          <w:sz w:val="22"/>
        </w:rPr>
        <w:t>LUAD driver-mutation stratification. Mean per-tumor ω was highest in KRAS-mutant tumors (136.9), exceeding wild-type (115.4) and EGFR-mutant tumors (122.2; Kruskal-Wallis P = 7.8 × 10⁻⁷; Tables (Sections 3.21b,c)).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EGFR association shows no k_f difference (all Holm-adjusted P &gt; 0.09) and is visible only in the k_n baseline, so it is baseline-driven. These are observational associations without patient-level covariate adjustment (no age, sex, or smoking metadata were available locally); tumor purity differences between driver classes cannot be excluded.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Metric</w:t>
            </w:r>
          </w:p>
        </w:tc>
        <w:tc>
          <w:tcPr>
            <w:tcW w:type="dxa" w:w="1881"/>
          </w:tcPr>
          <w:p>
            <w:r>
              <w:rPr>
                <w:rFonts w:ascii="Arial" w:hAnsi="Arial"/>
                <w:b/>
                <w:sz w:val="18"/>
              </w:rPr>
              <w:t>WT</w:t>
            </w:r>
          </w:p>
        </w:tc>
        <w:tc>
          <w:tcPr>
            <w:tcW w:type="dxa" w:w="1881"/>
          </w:tcPr>
          <w:p>
            <w:r>
              <w:rPr>
                <w:rFonts w:ascii="Arial" w:hAnsi="Arial"/>
                <w:b/>
                <w:sz w:val="18"/>
              </w:rPr>
              <w:t>EGFR</w:t>
            </w:r>
          </w:p>
        </w:tc>
        <w:tc>
          <w:tcPr>
            <w:tcW w:type="dxa" w:w="1881"/>
          </w:tcPr>
          <w:p>
            <w:r>
              <w:rPr>
                <w:rFonts w:ascii="Arial" w:hAnsi="Arial"/>
                <w:b/>
                <w:sz w:val="18"/>
              </w:rPr>
              <w:t>KRAS</w:t>
            </w:r>
          </w:p>
        </w:tc>
        <w:tc>
          <w:tcPr>
            <w:tcW w:type="dxa" w:w="1881"/>
          </w:tcPr>
          <w:p>
            <w:r>
              <w:rPr>
                <w:rFonts w:ascii="Arial" w:hAnsi="Arial"/>
                <w:b/>
                <w:sz w:val="18"/>
              </w:rPr>
              <w:t>Kruskal-Wallis P</w:t>
            </w:r>
          </w:p>
        </w:tc>
      </w:tr>
      <w:tr>
        <w:tc>
          <w:tcPr>
            <w:tcW w:type="dxa" w:w="1881"/>
          </w:tcPr>
          <w:p>
            <w:r>
              <w:rPr>
                <w:rFonts w:ascii="Arial" w:hAnsi="Arial"/>
                <w:sz w:val="18"/>
              </w:rPr>
              <w:t>ω</w:t>
            </w:r>
          </w:p>
        </w:tc>
        <w:tc>
          <w:tcPr>
            <w:tcW w:type="dxa" w:w="1881"/>
          </w:tcPr>
          <w:p>
            <w:r>
              <w:rPr>
                <w:rFonts w:ascii="Arial" w:hAnsi="Arial"/>
                <w:sz w:val="18"/>
              </w:rPr>
              <w:t>115.4</w:t>
            </w:r>
          </w:p>
        </w:tc>
        <w:tc>
          <w:tcPr>
            <w:tcW w:type="dxa" w:w="1881"/>
          </w:tcPr>
          <w:p>
            <w:r>
              <w:rPr>
                <w:rFonts w:ascii="Arial" w:hAnsi="Arial"/>
                <w:sz w:val="18"/>
              </w:rPr>
              <w:t>122.2</w:t>
            </w:r>
          </w:p>
        </w:tc>
        <w:tc>
          <w:tcPr>
            <w:tcW w:type="dxa" w:w="1881"/>
          </w:tcPr>
          <w:p>
            <w:r>
              <w:rPr>
                <w:rFonts w:ascii="Arial" w:hAnsi="Arial"/>
                <w:sz w:val="18"/>
              </w:rPr>
              <w:t>136.9</w:t>
            </w:r>
          </w:p>
        </w:tc>
        <w:tc>
          <w:tcPr>
            <w:tcW w:type="dxa" w:w="1881"/>
          </w:tcPr>
          <w:p>
            <w:r>
              <w:rPr>
                <w:rFonts w:ascii="Arial" w:hAnsi="Arial"/>
                <w:sz w:val="18"/>
              </w:rPr>
              <w:t>7.8×10⁻⁷</w:t>
            </w:r>
          </w:p>
        </w:tc>
      </w:tr>
      <w:tr>
        <w:tc>
          <w:tcPr>
            <w:tcW w:type="dxa" w:w="1881"/>
          </w:tcPr>
          <w:p>
            <w:r>
              <w:rPr>
                <w:rFonts w:ascii="Arial" w:hAnsi="Arial"/>
                <w:sz w:val="18"/>
              </w:rPr>
              <w:t>k_f</w:t>
            </w:r>
          </w:p>
        </w:tc>
        <w:tc>
          <w:tcPr>
            <w:tcW w:type="dxa" w:w="1881"/>
          </w:tcPr>
          <w:p>
            <w:r>
              <w:rPr>
                <w:rFonts w:ascii="Arial" w:hAnsi="Arial"/>
                <w:sz w:val="18"/>
              </w:rPr>
              <w:t>0.2814</w:t>
            </w:r>
          </w:p>
        </w:tc>
        <w:tc>
          <w:tcPr>
            <w:tcW w:type="dxa" w:w="1881"/>
          </w:tcPr>
          <w:p>
            <w:r>
              <w:rPr>
                <w:rFonts w:ascii="Arial" w:hAnsi="Arial"/>
                <w:sz w:val="18"/>
              </w:rPr>
              <w:t>0.2732</w:t>
            </w:r>
          </w:p>
        </w:tc>
        <w:tc>
          <w:tcPr>
            <w:tcW w:type="dxa" w:w="1881"/>
          </w:tcPr>
          <w:p>
            <w:r>
              <w:rPr>
                <w:rFonts w:ascii="Arial" w:hAnsi="Arial"/>
                <w:sz w:val="18"/>
              </w:rPr>
              <w:t>0.2919</w:t>
            </w:r>
          </w:p>
        </w:tc>
        <w:tc>
          <w:tcPr>
            <w:tcW w:type="dxa" w:w="1881"/>
          </w:tcPr>
          <w:p>
            <w:r>
              <w:rPr>
                <w:rFonts w:ascii="Arial" w:hAnsi="Arial"/>
                <w:sz w:val="18"/>
              </w:rPr>
              <w:t>0.015</w:t>
            </w:r>
          </w:p>
        </w:tc>
      </w:tr>
      <w:tr>
        <w:tc>
          <w:tcPr>
            <w:tcW w:type="dxa" w:w="1881"/>
          </w:tcPr>
          <w:p>
            <w:r>
              <w:rPr>
                <w:rFonts w:ascii="Arial" w:hAnsi="Arial"/>
                <w:sz w:val="18"/>
              </w:rPr>
              <w:t>k_n</w:t>
            </w:r>
          </w:p>
        </w:tc>
        <w:tc>
          <w:tcPr>
            <w:tcW w:type="dxa" w:w="1881"/>
          </w:tcPr>
          <w:p>
            <w:r>
              <w:rPr>
                <w:rFonts w:ascii="Arial" w:hAnsi="Arial"/>
                <w:sz w:val="18"/>
              </w:rPr>
              <w:t>0.0032</w:t>
            </w:r>
          </w:p>
        </w:tc>
        <w:tc>
          <w:tcPr>
            <w:tcW w:type="dxa" w:w="1881"/>
          </w:tcPr>
          <w:p>
            <w:r>
              <w:rPr>
                <w:rFonts w:ascii="Arial" w:hAnsi="Arial"/>
                <w:sz w:val="18"/>
              </w:rPr>
              <w:t>0.0028</w:t>
            </w:r>
          </w:p>
        </w:tc>
        <w:tc>
          <w:tcPr>
            <w:tcW w:type="dxa" w:w="1881"/>
          </w:tcPr>
          <w:p>
            <w:r>
              <w:rPr>
                <w:rFonts w:ascii="Arial" w:hAnsi="Arial"/>
                <w:sz w:val="18"/>
              </w:rPr>
              <w:t>0.0027</w:t>
            </w:r>
          </w:p>
        </w:tc>
        <w:tc>
          <w:tcPr>
            <w:tcW w:type="dxa" w:w="1881"/>
          </w:tcPr>
          <w:p>
            <w:r>
              <w:rPr>
                <w:rFonts w:ascii="Arial" w:hAnsi="Arial"/>
                <w:sz w:val="18"/>
              </w:rPr>
              <w:t>3.4×10⁻⁴</w:t>
            </w:r>
          </w:p>
        </w:tc>
      </w:tr>
    </w:tbl>
    <w:p>
      <w:r>
        <w:rPr>
          <w:rFonts w:ascii="Arial" w:hAnsi="Arial"/>
          <w:b w:val="0"/>
          <w:color w:val="000000"/>
          <w:sz w:val="22"/>
        </w:rPr>
        <w:t>Table (Section 3.21b). LUAD per-tumor group means (n = 311 wild-type, 61 EGFR-mutant, 120 KRAS-mutant) and the omnibus Kruskal-Wallis test for ω, k_f, and k_n.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Contrast</w:t>
            </w:r>
          </w:p>
        </w:tc>
        <w:tc>
          <w:tcPr>
            <w:tcW w:type="dxa" w:w="2351"/>
          </w:tcPr>
          <w:p>
            <w:r>
              <w:rPr>
                <w:rFonts w:ascii="Arial" w:hAnsi="Arial"/>
                <w:b/>
                <w:sz w:val="18"/>
              </w:rPr>
              <w:t>ω: Dunn-Holm P / bootstrap diff [95% CI]</w:t>
            </w:r>
          </w:p>
        </w:tc>
        <w:tc>
          <w:tcPr>
            <w:tcW w:type="dxa" w:w="2351"/>
          </w:tcPr>
          <w:p>
            <w:r>
              <w:rPr>
                <w:rFonts w:ascii="Arial" w:hAnsi="Arial"/>
                <w:b/>
                <w:sz w:val="18"/>
              </w:rPr>
              <w:t>k_f: P / diff [95% CI]</w:t>
            </w:r>
          </w:p>
        </w:tc>
        <w:tc>
          <w:tcPr>
            <w:tcW w:type="dxa" w:w="2351"/>
          </w:tcPr>
          <w:p>
            <w:r>
              <w:rPr>
                <w:rFonts w:ascii="Arial" w:hAnsi="Arial"/>
                <w:b/>
                <w:sz w:val="18"/>
              </w:rPr>
              <w:t>k_n: P / diff [95% CI]</w:t>
            </w:r>
          </w:p>
        </w:tc>
      </w:tr>
      <w:tr>
        <w:tc>
          <w:tcPr>
            <w:tcW w:type="dxa" w:w="2351"/>
          </w:tcPr>
          <w:p>
            <w:r>
              <w:rPr>
                <w:rFonts w:ascii="Arial" w:hAnsi="Arial"/>
                <w:sz w:val="18"/>
              </w:rPr>
              <w:t>KRAS − WT</w:t>
            </w:r>
          </w:p>
        </w:tc>
        <w:tc>
          <w:tcPr>
            <w:tcW w:type="dxa" w:w="2351"/>
          </w:tcPr>
          <w:p>
            <w:r>
              <w:rPr>
                <w:rFonts w:ascii="Arial" w:hAnsi="Arial"/>
                <w:sz w:val="18"/>
              </w:rPr>
              <w:t>3.6×10⁻⁷ / +21.57 [14.66, 29.38]</w:t>
            </w:r>
          </w:p>
        </w:tc>
        <w:tc>
          <w:tcPr>
            <w:tcW w:type="dxa" w:w="2351"/>
          </w:tcPr>
          <w:p>
            <w:r>
              <w:rPr>
                <w:rFonts w:ascii="Arial" w:hAnsi="Arial"/>
                <w:sz w:val="18"/>
              </w:rPr>
              <w:t>0.097 / +0.0105 [0.0024, 0.0192]</w:t>
            </w:r>
          </w:p>
        </w:tc>
        <w:tc>
          <w:tcPr>
            <w:tcW w:type="dxa" w:w="2351"/>
          </w:tcPr>
          <w:p>
            <w:r>
              <w:rPr>
                <w:rFonts w:ascii="Arial" w:hAnsi="Arial"/>
                <w:sz w:val="18"/>
              </w:rPr>
              <w:t>4.2×10⁻⁴ / -0.0006 [-0.0008, -0.0003]</w:t>
            </w:r>
          </w:p>
        </w:tc>
      </w:tr>
      <w:tr>
        <w:tc>
          <w:tcPr>
            <w:tcW w:type="dxa" w:w="2351"/>
          </w:tcPr>
          <w:p>
            <w:r>
              <w:rPr>
                <w:rFonts w:ascii="Arial" w:hAnsi="Arial"/>
                <w:sz w:val="18"/>
              </w:rPr>
              <w:t>KRAS − EGFR</w:t>
            </w:r>
          </w:p>
        </w:tc>
        <w:tc>
          <w:tcPr>
            <w:tcW w:type="dxa" w:w="2351"/>
          </w:tcPr>
          <w:p>
            <w:r>
              <w:rPr>
                <w:rFonts w:ascii="Arial" w:hAnsi="Arial"/>
                <w:sz w:val="18"/>
              </w:rPr>
              <w:t>0.008 / +14.73 [5.564, 24.13]</w:t>
            </w:r>
          </w:p>
        </w:tc>
        <w:tc>
          <w:tcPr>
            <w:tcW w:type="dxa" w:w="2351"/>
          </w:tcPr>
          <w:p>
            <w:r>
              <w:rPr>
                <w:rFonts w:ascii="Arial" w:hAnsi="Arial"/>
                <w:sz w:val="18"/>
              </w:rPr>
              <w:t>0.015 / +0.0187 [0.0061, 0.0326]</w:t>
            </w:r>
          </w:p>
        </w:tc>
        <w:tc>
          <w:tcPr>
            <w:tcW w:type="dxa" w:w="2351"/>
          </w:tcPr>
          <w:p>
            <w:r>
              <w:rPr>
                <w:rFonts w:ascii="Arial" w:hAnsi="Arial"/>
                <w:sz w:val="18"/>
              </w:rPr>
              <w:t>0.41 / -0.0001 [-0.0005, 0.0002]</w:t>
            </w:r>
          </w:p>
        </w:tc>
      </w:tr>
      <w:tr>
        <w:tc>
          <w:tcPr>
            <w:tcW w:type="dxa" w:w="2351"/>
          </w:tcPr>
          <w:p>
            <w:r>
              <w:rPr>
                <w:rFonts w:ascii="Arial" w:hAnsi="Arial"/>
                <w:sz w:val="18"/>
              </w:rPr>
              <w:t>EGFR − WT</w:t>
            </w:r>
          </w:p>
        </w:tc>
        <w:tc>
          <w:tcPr>
            <w:tcW w:type="dxa" w:w="2351"/>
          </w:tcPr>
          <w:p>
            <w:r>
              <w:rPr>
                <w:rFonts w:ascii="Arial" w:hAnsi="Arial"/>
                <w:sz w:val="18"/>
              </w:rPr>
              <w:t>0.39 / +6.842 [-2.092, 15.18]</w:t>
            </w:r>
          </w:p>
        </w:tc>
        <w:tc>
          <w:tcPr>
            <w:tcW w:type="dxa" w:w="2351"/>
          </w:tcPr>
          <w:p>
            <w:r>
              <w:rPr>
                <w:rFonts w:ascii="Arial" w:hAnsi="Arial"/>
                <w:sz w:val="18"/>
              </w:rPr>
              <w:t>0.099 / -0.0081 [-0.0213, 0.0042]</w:t>
            </w:r>
          </w:p>
        </w:tc>
        <w:tc>
          <w:tcPr>
            <w:tcW w:type="dxa" w:w="2351"/>
          </w:tcPr>
          <w:p>
            <w:r>
              <w:rPr>
                <w:rFonts w:ascii="Arial" w:hAnsi="Arial"/>
                <w:sz w:val="18"/>
              </w:rPr>
              <w:t>0.089 / -0.0004 [-0.0007, -0.0001]</w:t>
            </w:r>
          </w:p>
        </w:tc>
      </w:tr>
    </w:tbl>
    <w:p>
      <w:r>
        <w:rPr>
          <w:rFonts w:ascii="Arial" w:hAnsi="Arial"/>
          <w:b w:val="0"/>
          <w:color w:val="000000"/>
          <w:sz w:val="22"/>
        </w:rPr>
        <w:t>Table (Section 3.21c). LUAD pairwise contrasts: Dunn post-hoc P-values with Holm correction, and within-group bootstrap mean differences with 95% CIs (B = 1,000). Main-text Fig. 5b-d.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Model</w:t>
            </w:r>
          </w:p>
        </w:tc>
        <w:tc>
          <w:tcPr>
            <w:tcW w:type="dxa" w:w="1881"/>
          </w:tcPr>
          <w:p>
            <w:r>
              <w:rPr>
                <w:rFonts w:ascii="Arial" w:hAnsi="Arial"/>
                <w:b/>
                <w:sz w:val="18"/>
              </w:rPr>
              <w:t>n</w:t>
            </w:r>
          </w:p>
        </w:tc>
        <w:tc>
          <w:tcPr>
            <w:tcW w:type="dxa" w:w="1881"/>
          </w:tcPr>
          <w:p>
            <w:r>
              <w:rPr>
                <w:rFonts w:ascii="Arial" w:hAnsi="Arial"/>
                <w:b/>
                <w:sz w:val="18"/>
              </w:rPr>
              <w:t>Events</w:t>
            </w:r>
          </w:p>
        </w:tc>
        <w:tc>
          <w:tcPr>
            <w:tcW w:type="dxa" w:w="1881"/>
          </w:tcPr>
          <w:p>
            <w:r>
              <w:rPr>
                <w:rFonts w:ascii="Arial" w:hAnsi="Arial"/>
                <w:b/>
                <w:sz w:val="18"/>
              </w:rPr>
              <w:t>HR per SD [95% CI]</w:t>
            </w:r>
          </w:p>
        </w:tc>
        <w:tc>
          <w:tcPr>
            <w:tcW w:type="dxa" w:w="1881"/>
          </w:tcPr>
          <w:p>
            <w:r>
              <w:rPr>
                <w:rFonts w:ascii="Arial" w:hAnsi="Arial"/>
                <w:b/>
                <w:sz w:val="18"/>
              </w:rPr>
              <w:t>P</w:t>
            </w:r>
          </w:p>
        </w:tc>
      </w:tr>
      <w:tr>
        <w:tc>
          <w:tcPr>
            <w:tcW w:type="dxa" w:w="1881"/>
          </w:tcPr>
          <w:p>
            <w:r>
              <w:rPr>
                <w:rFonts w:ascii="Arial" w:hAnsi="Arial"/>
                <w:sz w:val="18"/>
              </w:rPr>
              <w:t>M1: ω, full adjustment</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1.06 [0.85, 1.32]</w:t>
            </w:r>
          </w:p>
        </w:tc>
        <w:tc>
          <w:tcPr>
            <w:tcW w:type="dxa" w:w="1881"/>
          </w:tcPr>
          <w:p>
            <w:r>
              <w:rPr>
                <w:rFonts w:ascii="Arial" w:hAnsi="Arial"/>
                <w:sz w:val="18"/>
              </w:rPr>
              <w:t>0.59</w:t>
            </w:r>
          </w:p>
        </w:tc>
      </w:tr>
      <w:tr>
        <w:tc>
          <w:tcPr>
            <w:tcW w:type="dxa" w:w="1881"/>
          </w:tcPr>
          <w:p>
            <w:r>
              <w:rPr>
                <w:rFonts w:ascii="Arial" w:hAnsi="Arial"/>
                <w:sz w:val="18"/>
              </w:rPr>
              <w:t>M2: ω + stage + grade</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1.01 [0.81, 1.25]</w:t>
            </w:r>
          </w:p>
        </w:tc>
        <w:tc>
          <w:tcPr>
            <w:tcW w:type="dxa" w:w="1881"/>
          </w:tcPr>
          <w:p>
            <w:r>
              <w:rPr>
                <w:rFonts w:ascii="Arial" w:hAnsi="Arial"/>
                <w:sz w:val="18"/>
              </w:rPr>
              <w:t>0.93</w:t>
            </w:r>
          </w:p>
        </w:tc>
      </w:tr>
      <w:tr>
        <w:tc>
          <w:tcPr>
            <w:tcW w:type="dxa" w:w="1881"/>
          </w:tcPr>
          <w:p>
            <w:r>
              <w:rPr>
                <w:rFonts w:ascii="Arial" w:hAnsi="Arial"/>
                <w:sz w:val="18"/>
              </w:rPr>
              <w:t>M3: ω, unadjusted</w:t>
            </w:r>
          </w:p>
        </w:tc>
        <w:tc>
          <w:tcPr>
            <w:tcW w:type="dxa" w:w="1881"/>
          </w:tcPr>
          <w:p>
            <w:r>
              <w:rPr>
                <w:rFonts w:ascii="Arial" w:hAnsi="Arial"/>
                <w:sz w:val="18"/>
              </w:rPr>
              <w:t>293</w:t>
            </w:r>
          </w:p>
        </w:tc>
        <w:tc>
          <w:tcPr>
            <w:tcW w:type="dxa" w:w="1881"/>
          </w:tcPr>
          <w:p>
            <w:r>
              <w:rPr>
                <w:rFonts w:ascii="Arial" w:hAnsi="Arial"/>
                <w:sz w:val="18"/>
              </w:rPr>
              <w:t>93</w:t>
            </w:r>
          </w:p>
        </w:tc>
        <w:tc>
          <w:tcPr>
            <w:tcW w:type="dxa" w:w="1881"/>
          </w:tcPr>
          <w:p>
            <w:r>
              <w:rPr>
                <w:rFonts w:ascii="Arial" w:hAnsi="Arial"/>
                <w:sz w:val="18"/>
              </w:rPr>
              <w:t>1.08 [0.88, 1.33]</w:t>
            </w:r>
          </w:p>
        </w:tc>
        <w:tc>
          <w:tcPr>
            <w:tcW w:type="dxa" w:w="1881"/>
          </w:tcPr>
          <w:p>
            <w:r>
              <w:rPr>
                <w:rFonts w:ascii="Arial" w:hAnsi="Arial"/>
                <w:sz w:val="18"/>
              </w:rPr>
              <w:t>0.45</w:t>
            </w:r>
          </w:p>
        </w:tc>
      </w:tr>
      <w:tr>
        <w:tc>
          <w:tcPr>
            <w:tcW w:type="dxa" w:w="1881"/>
          </w:tcPr>
          <w:p>
            <w:r>
              <w:rPr>
                <w:rFonts w:ascii="Arial" w:hAnsi="Arial"/>
                <w:sz w:val="18"/>
              </w:rPr>
              <w:t>M4: k_f, full adjustment</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1.07 [0.85, 1.36]</w:t>
            </w:r>
          </w:p>
        </w:tc>
        <w:tc>
          <w:tcPr>
            <w:tcW w:type="dxa" w:w="1881"/>
          </w:tcPr>
          <w:p>
            <w:r>
              <w:rPr>
                <w:rFonts w:ascii="Arial" w:hAnsi="Arial"/>
                <w:sz w:val="18"/>
              </w:rPr>
              <w:t>0.55</w:t>
            </w:r>
          </w:p>
        </w:tc>
      </w:tr>
      <w:tr>
        <w:tc>
          <w:tcPr>
            <w:tcW w:type="dxa" w:w="1881"/>
          </w:tcPr>
          <w:p>
            <w:r>
              <w:rPr>
                <w:rFonts w:ascii="Arial" w:hAnsi="Arial"/>
                <w:sz w:val="18"/>
              </w:rPr>
              <w:t>M5: k_n, full adjustment</w:t>
            </w:r>
          </w:p>
        </w:tc>
        <w:tc>
          <w:tcPr>
            <w:tcW w:type="dxa" w:w="1881"/>
          </w:tcPr>
          <w:p>
            <w:r>
              <w:rPr>
                <w:rFonts w:ascii="Arial" w:hAnsi="Arial"/>
                <w:sz w:val="18"/>
              </w:rPr>
              <w:t>271</w:t>
            </w:r>
          </w:p>
        </w:tc>
        <w:tc>
          <w:tcPr>
            <w:tcW w:type="dxa" w:w="1881"/>
          </w:tcPr>
          <w:p>
            <w:r>
              <w:rPr>
                <w:rFonts w:ascii="Arial" w:hAnsi="Arial"/>
                <w:sz w:val="18"/>
              </w:rPr>
              <w:t>79</w:t>
            </w:r>
          </w:p>
        </w:tc>
        <w:tc>
          <w:tcPr>
            <w:tcW w:type="dxa" w:w="1881"/>
          </w:tcPr>
          <w:p>
            <w:r>
              <w:rPr>
                <w:rFonts w:ascii="Arial" w:hAnsi="Arial"/>
                <w:sz w:val="18"/>
              </w:rPr>
              <w:t>0.95 [0.80, 1.14]</w:t>
            </w:r>
          </w:p>
        </w:tc>
        <w:tc>
          <w:tcPr>
            <w:tcW w:type="dxa" w:w="1881"/>
          </w:tcPr>
          <w:p>
            <w:r>
              <w:rPr>
                <w:rFonts w:ascii="Arial" w:hAnsi="Arial"/>
                <w:sz w:val="18"/>
              </w:rPr>
              <w:t>0.58</w:t>
            </w:r>
          </w:p>
        </w:tc>
      </w:tr>
      <w:tr>
        <w:tc>
          <w:tcPr>
            <w:tcW w:type="dxa" w:w="1881"/>
          </w:tcPr>
          <w:p>
            <w:r>
              <w:rPr>
                <w:rFonts w:ascii="Arial" w:hAnsi="Arial"/>
                <w:sz w:val="18"/>
              </w:rPr>
              <w:t>M6: TN-ω, full adjustment</w:t>
            </w:r>
          </w:p>
        </w:tc>
        <w:tc>
          <w:tcPr>
            <w:tcW w:type="dxa" w:w="1881"/>
          </w:tcPr>
          <w:p>
            <w:r>
              <w:rPr>
                <w:rFonts w:ascii="Arial" w:hAnsi="Arial"/>
                <w:sz w:val="18"/>
              </w:rPr>
              <w:t>270</w:t>
            </w:r>
          </w:p>
        </w:tc>
        <w:tc>
          <w:tcPr>
            <w:tcW w:type="dxa" w:w="1881"/>
          </w:tcPr>
          <w:p>
            <w:r>
              <w:rPr>
                <w:rFonts w:ascii="Arial" w:hAnsi="Arial"/>
                <w:sz w:val="18"/>
              </w:rPr>
              <w:t>79</w:t>
            </w:r>
          </w:p>
        </w:tc>
        <w:tc>
          <w:tcPr>
            <w:tcW w:type="dxa" w:w="1881"/>
          </w:tcPr>
          <w:p>
            <w:r>
              <w:rPr>
                <w:rFonts w:ascii="Arial" w:hAnsi="Arial"/>
                <w:sz w:val="18"/>
              </w:rPr>
              <w:t>0.89 [0.71, 1.11]</w:t>
            </w:r>
          </w:p>
        </w:tc>
        <w:tc>
          <w:tcPr>
            <w:tcW w:type="dxa" w:w="1881"/>
          </w:tcPr>
          <w:p>
            <w:r>
              <w:rPr>
                <w:rFonts w:ascii="Arial" w:hAnsi="Arial"/>
                <w:sz w:val="18"/>
              </w:rPr>
              <w:t>0.30</w:t>
            </w:r>
          </w:p>
        </w:tc>
      </w:tr>
    </w:tbl>
    <w:p>
      <w:r>
        <w:rPr>
          <w:rFonts w:ascii="Arial" w:hAnsi="Arial"/>
          <w:b w:val="0"/>
          <w:color w:val="000000"/>
          <w:sz w:val="22"/>
        </w:rPr>
        <w:t>Table (Section 3.21d). LIHC overall-survival Cox models (hazard ratios per +1 SD of the exposure). No exposure shows an association (all P ≥ 0.30), so the pan-cancer reversal is a descriptive property of tissue-state divergence, not a prognostic marker; the full coefficient table is results/nc49_pilot_lihc_cox.csv of the companion repository.</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pPr>
        <w:pStyle w:val="Heading2"/>
      </w:pPr>
      <w:r>
        <w:t>Supplementary Note 2: Small-Cluster Bootstrap Corrections for Region-Clustered CIs (v45)</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3.18)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(v45;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 (v45)</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 (v45)</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v44 update (linear normalization). The composition check was re-run on the linear-normalization pair table of Section 1.7 (script notebooks/86_tcga_composition_linear_norm_v44.py, mirroring script 74 with the four marker panels and the sample-level cluster bootstrap, B = 200; outputs results/tcga_composition_v44.{csv,txt}). All conclusions are unchanged: pooled four-panel attenuation −0.8% (cluster-bootstrap median −1.2%, 95% CI [−4.1%, +2.6%]); per-cancer attenuation LIHC +37.1% [+27.1%, +51.5%], KIRC +18.3% [+13.9%, +23.4%], BRCA −16.2% [−25.5%, −7.5%], LUAD −1.6%, LUSC −11.1%; the within-TT correlation of k_n with the composition difference is Spearman ρ = 0.355 pooled (per-cancer 0.146–0.492). Composition covariates still absorb a substantial share of the tumor-pair coefficient in LIHC and KIRC but not in the other cancer types, and the pooled near-zero estimate still masks this heterogeneity.</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2 / Fig. 6)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v44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10-19). LIHC Edmondson grade: mean ω decreases from G1 to G2 and plateaus (82.4, 74.7, 74.9, 75.0 for G1–G4; Jonckheere-Terpstra P ≈ 0), but k_f increases with grade (JT P = 1.05 × 10⁻¹²)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4b), and the full values and test details live here. The k_f-only controls are post-hoc; the P-values reported here (three severity analyses crossed with three metrics) are nominal and carry no multiplicity correction. Scripts: notebooks/83_kf_only_ordering.py (published softmax run) and notebooks/85_tcga_linear_norm_v44.py (v44 linear re-analysis); outputs: results/kf_only_ordering.csv, results/kf_only_ordering.json, results/kf_only_severity.csv, results/kf_only_ordering.txt, results/tcga_clinical_severity_v44.csv.</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Stratum</w:t>
            </w:r>
          </w:p>
        </w:tc>
        <w:tc>
          <w:tcPr>
            <w:tcW w:type="dxa" w:w="1568"/>
          </w:tcPr>
          <w:p>
            <w:r>
              <w:rPr>
                <w:rFonts w:ascii="Arial" w:hAnsi="Arial"/>
                <w:b/>
                <w:sz w:val="18"/>
              </w:rPr>
              <w:t>Ordering by mean ω</w:t>
            </w:r>
          </w:p>
        </w:tc>
        <w:tc>
          <w:tcPr>
            <w:tcW w:type="dxa" w:w="1568"/>
          </w:tcPr>
          <w:p>
            <w:r>
              <w:rPr>
                <w:rFonts w:ascii="Arial" w:hAnsi="Arial"/>
                <w:b/>
                <w:sz w:val="18"/>
              </w:rPr>
              <w:t>Mean ω per group</w:t>
            </w:r>
          </w:p>
        </w:tc>
        <w:tc>
          <w:tcPr>
            <w:tcW w:type="dxa" w:w="1568"/>
          </w:tcPr>
          <w:p>
            <w:r>
              <w:rPr>
                <w:rFonts w:ascii="Arial" w:hAnsi="Arial"/>
                <w:b/>
                <w:sz w:val="18"/>
              </w:rPr>
              <w:t>ω omnibus P</w:t>
            </w:r>
          </w:p>
        </w:tc>
        <w:tc>
          <w:tcPr>
            <w:tcW w:type="dxa" w:w="1568"/>
          </w:tcPr>
          <w:p>
            <w:r>
              <w:rPr>
                <w:rFonts w:ascii="Arial" w:hAnsi="Arial"/>
                <w:b/>
                <w:sz w:val="18"/>
              </w:rPr>
              <w:t>k_f P</w:t>
            </w:r>
          </w:p>
        </w:tc>
        <w:tc>
          <w:tcPr>
            <w:tcW w:type="dxa" w:w="1568"/>
          </w:tcPr>
          <w:p>
            <w:r>
              <w:rPr>
                <w:rFonts w:ascii="Arial" w:hAnsi="Arial"/>
                <w:b/>
                <w:sz w:val="18"/>
              </w:rPr>
              <w:t>k_n P</w:t>
            </w:r>
          </w:p>
        </w:tc>
      </w:tr>
      <w:tr>
        <w:tc>
          <w:tcPr>
            <w:tcW w:type="dxa" w:w="1568"/>
          </w:tcPr>
          <w:p>
            <w:r>
              <w:rPr>
                <w:rFonts w:ascii="Arial" w:hAnsi="Arial"/>
                <w:sz w:val="18"/>
              </w:rPr>
              <w:t>LIHC Edmondson grade</w:t>
            </w:r>
          </w:p>
        </w:tc>
        <w:tc>
          <w:tcPr>
            <w:tcW w:type="dxa" w:w="1568"/>
          </w:tcPr>
          <w:p>
            <w:r>
              <w:rPr>
                <w:rFonts w:ascii="Arial" w:hAnsi="Arial"/>
                <w:sz w:val="18"/>
              </w:rPr>
              <w:t>G1 &gt; G2 ≈ G3 ≈ G4</w:t>
            </w:r>
          </w:p>
        </w:tc>
        <w:tc>
          <w:tcPr>
            <w:tcW w:type="dxa" w:w="1568"/>
          </w:tcPr>
          <w:p>
            <w:r>
              <w:rPr>
                <w:rFonts w:ascii="Arial" w:hAnsi="Arial"/>
                <w:sz w:val="18"/>
              </w:rPr>
              <w:t>82.4 / 74.7 / 74.9 / 75.0</w:t>
            </w:r>
          </w:p>
        </w:tc>
        <w:tc>
          <w:tcPr>
            <w:tcW w:type="dxa" w:w="1568"/>
          </w:tcPr>
          <w:p>
            <w:r>
              <w:rPr>
                <w:rFonts w:ascii="Arial" w:hAnsi="Arial"/>
                <w:sz w:val="18"/>
              </w:rPr>
              <w:t>JT ≈ 0</w:t>
            </w:r>
          </w:p>
        </w:tc>
        <w:tc>
          <w:tcPr>
            <w:tcW w:type="dxa" w:w="1568"/>
          </w:tcPr>
          <w:p>
            <w:r>
              <w:rPr>
                <w:rFonts w:ascii="Arial" w:hAnsi="Arial"/>
                <w:sz w:val="18"/>
              </w:rPr>
              <w:t>JT 1.05 × 10⁻¹²</w:t>
            </w:r>
          </w:p>
        </w:tc>
        <w:tc>
          <w:tcPr>
            <w:tcW w:type="dxa" w:w="1568"/>
          </w:tcPr>
          <w:p>
            <w:r>
              <w:rPr>
                <w:rFonts w:ascii="Arial" w:hAnsi="Arial"/>
                <w:sz w:val="18"/>
              </w:rPr>
              <w:t>JT ≈ 0</w:t>
            </w:r>
          </w:p>
        </w:tc>
      </w:tr>
      <w:tr>
        <w:tc>
          <w:tcPr>
            <w:tcW w:type="dxa" w:w="1568"/>
          </w:tcPr>
          <w:p>
            <w:r>
              <w:rPr>
                <w:rFonts w:ascii="Arial" w:hAnsi="Arial"/>
                <w:sz w:val="18"/>
              </w:rPr>
              <w:t>BRCA PAM50</w:t>
            </w:r>
          </w:p>
        </w:tc>
        <w:tc>
          <w:tcPr>
            <w:tcW w:type="dxa" w:w="1568"/>
          </w:tcPr>
          <w:p>
            <w:r>
              <w:rPr>
                <w:rFonts w:ascii="Arial" w:hAnsi="Arial"/>
                <w:sz w:val="18"/>
              </w:rPr>
              <w:t>LumA &gt; LumB &gt; HER2 &gt; Basal &gt; Normal</w:t>
            </w:r>
          </w:p>
        </w:tc>
        <w:tc>
          <w:tcPr>
            <w:tcW w:type="dxa" w:w="1568"/>
          </w:tcPr>
          <w:p>
            <w:r>
              <w:rPr>
                <w:rFonts w:ascii="Arial" w:hAnsi="Arial"/>
                <w:sz w:val="18"/>
              </w:rPr>
              <w:t>142.0 / 136.5 / 121.8 / 116.7 / 101.9</w:t>
            </w:r>
          </w:p>
        </w:tc>
        <w:tc>
          <w:tcPr>
            <w:tcW w:type="dxa" w:w="1568"/>
          </w:tcPr>
          <w:p>
            <w:r>
              <w:rPr>
                <w:rFonts w:ascii="Arial" w:hAnsi="Arial"/>
                <w:sz w:val="18"/>
              </w:rPr>
              <w:t>KW 7.0 × 10⁻⁷</w:t>
            </w:r>
          </w:p>
        </w:tc>
        <w:tc>
          <w:tcPr>
            <w:tcW w:type="dxa" w:w="1568"/>
          </w:tcPr>
          <w:p>
            <w:r>
              <w:rPr>
                <w:rFonts w:ascii="Arial" w:hAnsi="Arial"/>
                <w:sz w:val="18"/>
              </w:rPr>
              <w:t>KW 8.3 × 10⁻¹²</w:t>
            </w:r>
          </w:p>
        </w:tc>
        <w:tc>
          <w:tcPr>
            <w:tcW w:type="dxa" w:w="1568"/>
          </w:tcPr>
          <w:p>
            <w:r>
              <w:rPr>
                <w:rFonts w:ascii="Arial" w:hAnsi="Arial"/>
                <w:sz w:val="18"/>
              </w:rPr>
              <w:t>KW 3.6 × 10⁻¹⁰</w:t>
            </w:r>
          </w:p>
        </w:tc>
      </w:tr>
      <w:tr>
        <w:tc>
          <w:tcPr>
            <w:tcW w:type="dxa" w:w="1568"/>
          </w:tcPr>
          <w:p>
            <w:r>
              <w:rPr>
                <w:rFonts w:ascii="Arial" w:hAnsi="Arial"/>
                <w:sz w:val="18"/>
              </w:rPr>
              <w:t>LUAD mutation</w:t>
            </w:r>
          </w:p>
        </w:tc>
        <w:tc>
          <w:tcPr>
            <w:tcW w:type="dxa" w:w="1568"/>
          </w:tcPr>
          <w:p>
            <w:r>
              <w:rPr>
                <w:rFonts w:ascii="Arial" w:hAnsi="Arial"/>
                <w:sz w:val="18"/>
              </w:rPr>
              <w:t>KRAS &gt; EGFR &gt; wild-type</w:t>
            </w:r>
          </w:p>
        </w:tc>
        <w:tc>
          <w:tcPr>
            <w:tcW w:type="dxa" w:w="1568"/>
          </w:tcPr>
          <w:p>
            <w:r>
              <w:rPr>
                <w:rFonts w:ascii="Arial" w:hAnsi="Arial"/>
                <w:sz w:val="18"/>
              </w:rPr>
              <w:t>136.9 / 122.2 / 115.4</w:t>
            </w:r>
          </w:p>
        </w:tc>
        <w:tc>
          <w:tcPr>
            <w:tcW w:type="dxa" w:w="1568"/>
          </w:tcPr>
          <w:p>
            <w:r>
              <w:rPr>
                <w:rFonts w:ascii="Arial" w:hAnsi="Arial"/>
                <w:sz w:val="18"/>
              </w:rPr>
              <w:t>KW 7.8 × 10⁻⁷</w:t>
            </w:r>
          </w:p>
        </w:tc>
        <w:tc>
          <w:tcPr>
            <w:tcW w:type="dxa" w:w="1568"/>
          </w:tcPr>
          <w:p>
            <w:r>
              <w:rPr>
                <w:rFonts w:ascii="Arial" w:hAnsi="Arial"/>
                <w:sz w:val="18"/>
              </w:rPr>
              <w:t>KW 0.015</w:t>
            </w:r>
          </w:p>
        </w:tc>
        <w:tc>
          <w:tcPr>
            <w:tcW w:type="dxa" w:w="1568"/>
          </w:tcPr>
          <w:p>
            <w:r>
              <w:rPr>
                <w:rFonts w:ascii="Arial" w:hAnsi="Arial"/>
                <w:sz w:val="18"/>
              </w:rPr>
              <w:t>KW 3.4 × 10⁻⁴</w:t>
            </w:r>
          </w:p>
        </w:tc>
      </w:tr>
    </w:tbl>
    <w:p>
      <w:r>
        <w:rPr>
          <w:rFonts w:ascii="Arial" w:hAnsi="Arial"/>
          <w:b w:val="0"/>
          <w:color w:val="000000"/>
          <w:sz w:val="22"/>
        </w:rPr>
        <w:t>Table (Supplementary Note 9). TCGA clinical-severity gradients under the v44 linear-normalization re-analysis (kn_floor = 0; per-tumor mean of intratumoral TT pairs). JT = Jonckheere-Terpstra trend test; KW = Kruskal-Wallis. All P-values are nominal (no multiplicity correction); every gradient is denominator-dominated, as shown by the parallel k_n trends.</w:t>
      </w:r>
    </w:p>
    <w:p>
      <w:pPr>
        <w:pStyle w:val="Heading2"/>
      </w:pPr>
      <w:r>
        <w:t>Supplementary Note 10: Brain Class-Size Confounding Controls and min-cells Threshold Sensitivity (v44)</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min cells</w:t>
            </w:r>
          </w:p>
        </w:tc>
        <w:tc>
          <w:tcPr>
            <w:tcW w:type="dxa" w:w="1568"/>
          </w:tcPr>
          <w:p>
            <w:r>
              <w:rPr>
                <w:rFonts w:ascii="Arial" w:hAnsi="Arial"/>
                <w:b/>
                <w:sz w:val="18"/>
              </w:rPr>
              <w:t>classes</w:t>
            </w:r>
          </w:p>
        </w:tc>
        <w:tc>
          <w:tcPr>
            <w:tcW w:type="dxa" w:w="1568"/>
          </w:tcPr>
          <w:p>
            <w:r>
              <w:rPr>
                <w:rFonts w:ascii="Arial" w:hAnsi="Arial"/>
                <w:b/>
                <w:sz w:val="18"/>
              </w:rPr>
              <w:t>pairs</w:t>
            </w:r>
          </w:p>
        </w:tc>
        <w:tc>
          <w:tcPr>
            <w:tcW w:type="dxa" w:w="1568"/>
          </w:tcPr>
          <w:p>
            <w:r>
              <w:rPr>
                <w:rFonts w:ascii="Arial" w:hAnsi="Arial"/>
                <w:b/>
                <w:sz w:val="18"/>
              </w:rPr>
              <w:t>Strong</w:t>
            </w:r>
          </w:p>
        </w:tc>
        <w:tc>
          <w:tcPr>
            <w:tcW w:type="dxa" w:w="1568"/>
          </w:tcPr>
          <w:p>
            <w:r>
              <w:rPr>
                <w:rFonts w:ascii="Arial" w:hAnsi="Arial"/>
                <w:b/>
                <w:sz w:val="18"/>
              </w:rPr>
              <w:t>lowest-ω class</w:t>
            </w:r>
          </w:p>
        </w:tc>
        <w:tc>
          <w:tcPr>
            <w:tcW w:type="dxa" w:w="1568"/>
          </w:tcPr>
          <w:p>
            <w:r>
              <w:rPr>
                <w:rFonts w:ascii="Arial" w:hAnsi="Arial"/>
                <w:b/>
                <w:sz w:val="18"/>
              </w:rPr>
              <w:t>Astrocyte/Bergmann gradient</w:t>
            </w:r>
          </w:p>
        </w:tc>
      </w:tr>
      <w:tr>
        <w:tc>
          <w:tcPr>
            <w:tcW w:type="dxa" w:w="1568"/>
          </w:tcPr>
          <w:p>
            <w:r>
              <w:rPr>
                <w:rFonts w:ascii="Arial" w:hAnsi="Arial"/>
                <w:sz w:val="18"/>
              </w:rPr>
              <w:t>10</w:t>
            </w:r>
          </w:p>
        </w:tc>
        <w:tc>
          <w:tcPr>
            <w:tcW w:type="dxa" w:w="1568"/>
          </w:tcPr>
          <w:p>
            <w:r>
              <w:rPr>
                <w:rFonts w:ascii="Arial" w:hAnsi="Arial"/>
                <w:sz w:val="18"/>
              </w:rPr>
              <w:t>10</w:t>
            </w:r>
          </w:p>
        </w:tc>
        <w:tc>
          <w:tcPr>
            <w:tcW w:type="dxa" w:w="1568"/>
          </w:tcPr>
          <w:p>
            <w:r>
              <w:rPr>
                <w:rFonts w:ascii="Arial" w:hAnsi="Arial"/>
                <w:sz w:val="18"/>
              </w:rPr>
              <w:t>37,361</w:t>
            </w:r>
          </w:p>
        </w:tc>
        <w:tc>
          <w:tcPr>
            <w:tcW w:type="dxa" w:w="1568"/>
          </w:tcPr>
          <w:p>
            <w:r>
              <w:rPr>
                <w:rFonts w:ascii="Arial" w:hAnsi="Arial"/>
                <w:sz w:val="18"/>
              </w:rPr>
              <w:t>29</w:t>
            </w:r>
          </w:p>
        </w:tc>
        <w:tc>
          <w:tcPr>
            <w:tcW w:type="dxa" w:w="1568"/>
          </w:tcPr>
          <w:p>
            <w:r>
              <w:rPr>
                <w:rFonts w:ascii="Arial" w:hAnsi="Arial"/>
                <w:sz w:val="18"/>
              </w:rPr>
              <w:t>Vascular</w:t>
            </w:r>
          </w:p>
        </w:tc>
        <w:tc>
          <w:tcPr>
            <w:tcW w:type="dxa" w:w="1568"/>
          </w:tcPr>
          <w:p>
            <w:r>
              <w:rPr>
                <w:rFonts w:ascii="Arial" w:hAnsi="Arial"/>
                <w:sz w:val="18"/>
              </w:rPr>
              <w:t>6.60</w:t>
            </w:r>
          </w:p>
        </w:tc>
      </w:tr>
      <w:tr>
        <w:tc>
          <w:tcPr>
            <w:tcW w:type="dxa" w:w="1568"/>
          </w:tcPr>
          <w:p>
            <w:r>
              <w:rPr>
                <w:rFonts w:ascii="Arial" w:hAnsi="Arial"/>
                <w:sz w:val="18"/>
              </w:rPr>
              <w:t>20 (reference)</w:t>
            </w:r>
          </w:p>
        </w:tc>
        <w:tc>
          <w:tcPr>
            <w:tcW w:type="dxa" w:w="1568"/>
          </w:tcPr>
          <w:p>
            <w:r>
              <w:rPr>
                <w:rFonts w:ascii="Arial" w:hAnsi="Arial"/>
                <w:sz w:val="18"/>
              </w:rPr>
              <w:t>10</w:t>
            </w:r>
          </w:p>
        </w:tc>
        <w:tc>
          <w:tcPr>
            <w:tcW w:type="dxa" w:w="1568"/>
          </w:tcPr>
          <w:p>
            <w:r>
              <w:rPr>
                <w:rFonts w:ascii="Arial" w:hAnsi="Arial"/>
                <w:sz w:val="18"/>
              </w:rPr>
              <w:t>31,764</w:t>
            </w:r>
          </w:p>
        </w:tc>
        <w:tc>
          <w:tcPr>
            <w:tcW w:type="dxa" w:w="1568"/>
          </w:tcPr>
          <w:p>
            <w:r>
              <w:rPr>
                <w:rFonts w:ascii="Arial" w:hAnsi="Arial"/>
                <w:sz w:val="18"/>
              </w:rPr>
              <w:t>39</w:t>
            </w:r>
          </w:p>
        </w:tc>
        <w:tc>
          <w:tcPr>
            <w:tcW w:type="dxa" w:w="1568"/>
          </w:tcPr>
          <w:p>
            <w:r>
              <w:rPr>
                <w:rFonts w:ascii="Arial" w:hAnsi="Arial"/>
                <w:sz w:val="18"/>
              </w:rPr>
              <w:t>Bergmann glia</w:t>
            </w:r>
          </w:p>
        </w:tc>
        <w:tc>
          <w:tcPr>
            <w:tcW w:type="dxa" w:w="1568"/>
          </w:tcPr>
          <w:p>
            <w:r>
              <w:rPr>
                <w:rFonts w:ascii="Arial" w:hAnsi="Arial"/>
                <w:sz w:val="18"/>
              </w:rPr>
              <w:t>6.10</w:t>
            </w:r>
          </w:p>
        </w:tc>
      </w:tr>
      <w:tr>
        <w:tc>
          <w:tcPr>
            <w:tcW w:type="dxa" w:w="1568"/>
          </w:tcPr>
          <w:p>
            <w:r>
              <w:rPr>
                <w:rFonts w:ascii="Arial" w:hAnsi="Arial"/>
                <w:sz w:val="18"/>
              </w:rPr>
              <w:t>50</w:t>
            </w:r>
          </w:p>
        </w:tc>
        <w:tc>
          <w:tcPr>
            <w:tcW w:type="dxa" w:w="1568"/>
          </w:tcPr>
          <w:p>
            <w:r>
              <w:rPr>
                <w:rFonts w:ascii="Arial" w:hAnsi="Arial"/>
                <w:sz w:val="18"/>
              </w:rPr>
              <w:t>10</w:t>
            </w:r>
          </w:p>
        </w:tc>
        <w:tc>
          <w:tcPr>
            <w:tcW w:type="dxa" w:w="1568"/>
          </w:tcPr>
          <w:p>
            <w:r>
              <w:rPr>
                <w:rFonts w:ascii="Arial" w:hAnsi="Arial"/>
                <w:sz w:val="18"/>
              </w:rPr>
              <w:t>25,876</w:t>
            </w:r>
          </w:p>
        </w:tc>
        <w:tc>
          <w:tcPr>
            <w:tcW w:type="dxa" w:w="1568"/>
          </w:tcPr>
          <w:p>
            <w:r>
              <w:rPr>
                <w:rFonts w:ascii="Arial" w:hAnsi="Arial"/>
                <w:sz w:val="18"/>
              </w:rPr>
              <w:t>31</w:t>
            </w:r>
          </w:p>
        </w:tc>
        <w:tc>
          <w:tcPr>
            <w:tcW w:type="dxa" w:w="1568"/>
          </w:tcPr>
          <w:p>
            <w:r>
              <w:rPr>
                <w:rFonts w:ascii="Arial" w:hAnsi="Arial"/>
                <w:sz w:val="18"/>
              </w:rPr>
              <w:t>Vascular</w:t>
            </w:r>
          </w:p>
        </w:tc>
        <w:tc>
          <w:tcPr>
            <w:tcW w:type="dxa" w:w="1568"/>
          </w:tcPr>
          <w:p>
            <w:r>
              <w:rPr>
                <w:rFonts w:ascii="Arial" w:hAnsi="Arial"/>
                <w:sz w:val="18"/>
              </w:rPr>
              <w:t>4.12</w:t>
            </w:r>
          </w:p>
        </w:tc>
      </w:tr>
      <w:tr>
        <w:tc>
          <w:tcPr>
            <w:tcW w:type="dxa" w:w="1568"/>
          </w:tcPr>
          <w:p>
            <w:r>
              <w:rPr>
                <w:rFonts w:ascii="Arial" w:hAnsi="Arial"/>
                <w:sz w:val="18"/>
              </w:rPr>
              <w:t>100</w:t>
            </w:r>
          </w:p>
        </w:tc>
        <w:tc>
          <w:tcPr>
            <w:tcW w:type="dxa" w:w="1568"/>
          </w:tcPr>
          <w:p>
            <w:r>
              <w:rPr>
                <w:rFonts w:ascii="Arial" w:hAnsi="Arial"/>
                <w:sz w:val="18"/>
              </w:rPr>
              <w:t>8</w:t>
            </w:r>
          </w:p>
        </w:tc>
        <w:tc>
          <w:tcPr>
            <w:tcW w:type="dxa" w:w="1568"/>
          </w:tcPr>
          <w:p>
            <w:r>
              <w:rPr>
                <w:rFonts w:ascii="Arial" w:hAnsi="Arial"/>
                <w:sz w:val="18"/>
              </w:rPr>
              <w:t>22,968</w:t>
            </w:r>
          </w:p>
        </w:tc>
        <w:tc>
          <w:tcPr>
            <w:tcW w:type="dxa" w:w="1568"/>
          </w:tcPr>
          <w:p>
            <w:r>
              <w:rPr>
                <w:rFonts w:ascii="Arial" w:hAnsi="Arial"/>
                <w:sz w:val="18"/>
              </w:rPr>
              <w:t>22</w:t>
            </w:r>
          </w:p>
        </w:tc>
        <w:tc>
          <w:tcPr>
            <w:tcW w:type="dxa" w:w="1568"/>
          </w:tcPr>
          <w:p>
            <w:r>
              <w:rPr>
                <w:rFonts w:ascii="Arial" w:hAnsi="Arial"/>
                <w:sz w:val="18"/>
              </w:rPr>
              <w:t>Vascular</w:t>
            </w:r>
          </w:p>
        </w:tc>
        <w:tc>
          <w:tcPr>
            <w:tcW w:type="dxa" w:w="1568"/>
          </w:tcPr>
          <w:p>
            <w:r>
              <w:rPr>
                <w:rFonts w:ascii="Arial" w:hAnsi="Arial"/>
                <w:sz w:val="18"/>
              </w:rPr>
              <w:t>n/a (Bergmann glia, choroid plexus dropped)</w:t>
            </w:r>
          </w:p>
        </w:tc>
      </w:tr>
    </w:tbl>
    <w:p>
      <w:r>
        <w:rPr>
          <w:rFonts w:ascii="Arial" w:hAnsi="Arial"/>
          <w:b w:val="0"/>
          <w:color w:val="000000"/>
          <w:sz w:val="22"/>
        </w:rPr>
        <w:t>Table (Supplementary Note 10). Threshold sensitivity of the brain landscape. The 20-nucleus threshold is not arbitrary-sensitive: the high-ω classes (astrocytes, oligodendrocytes, OPCs, microglia) change by ≤ 1% across thresholds, and Strong-tier counts vary modestly (22–39). Two caveats: (i) the lowest-ω position is a near-tie at t = 20 (Bergmann glia 13.555 versus vascular 13.559) and flips with threshold choice; (ii) t = 100 drops the two smallest classes (Bergmann glia, choroid plexus), so the threshold must stay ≤ 50 to retain all ten classes; t = 20 maximizes pair coverage while keeping per-group pseudobulk noise acceptable.</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pPr>
        <w:pStyle w:val="Heading2"/>
      </w:pPr>
      <w:r>
        <w:t>Supplementary Note 14: Comparison with Augur Cell-Type Prioritization (v45)</w:t>
      </w:r>
    </w:p>
    <w:p>
      <w:r>
        <w:rPr>
          <w:rFonts w:ascii="Arial" w:hAnsi="Arial"/>
          <w:b w:val="0"/>
          <w:color w:val="000000"/>
          <w:sz w:val="22"/>
        </w:rPr>
        <w:t>Augur (Skinnider et al., Nat. Biotechnol. 2021; main-text ref. 56)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the primary,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w:t>
      </w:r>
    </w:p>
    <w:p>
      <w:r>
        <w:rPr>
          <w:rFonts w:ascii="Arial" w:hAnsi="Arial"/>
          <w:b w:val="0"/>
          <w:color w:val="000000"/>
          <w:sz w:val="22"/>
        </w:rPr>
        <w:t>Under the primary binary OvR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the two methods are complementary rather than redundant. The multiclass variant is disclosed only as a sensitivity analysis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7).</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