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On real technical replicates, ω misreported none of 30 Kang IFN-β cross-lane pairs and had the lowest false-report rate among continuous divergence metrics on 2,161 brain library pairs (28.6% versus 45.2% for raw JS), though this specificity decays with group size. In 3,563 TCGA samples across five cancer types, ω revealed a consistent pan-cancer reversal—tumor specimens less divergent than adjacent non-tumor tissue (ratio 1.13–2.46, CI excluding 1 in four of five cancers)—driven by a 2.1–3.6-fold elevated housekeeping baseline, not reduced functional divergence; in lung adenocarcinoma, KRAS-mutant tumors showed elevated tissue-level divergence whose functional (k_f) and baseline (k_n) components both survived adjustment for tumor purity and smoking, whereas the apparent EGFR-mutant association was attributable to stromal/immune admixture. Brain analysis revealed a 6.10-fold regional gradient (size-balanced estimate 1.74 [1.64, 1.84]).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on real technical replicates—30 same-donor cross-lane pairs in an IFN-β PBMC cohort and 2,161 same-donor, same-region library pairs in the brain atlas—ω showed the lowest drift misreporting among continuous divergence metrics while retaining sensitivity to genuine biology (Results). Fourth,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3,563 samples, uncovering a consistent pan-cancer reversal—tumor specimens less divergent than adjacent non-tumor tissue, attributable to an elevated housekeeping baseline—and resolving driver-class differences in lung adenocarcinoma, where KRAS-mutant tumors retained both functional (k_f) and baseline (k_n) divergence after purity and smoking adjustment, whereas the apparent EGFR association dissolved under purity adjustment (Results). Fifth,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k_f alone was likewise 0 of 30—on this dataset ω adds no increment over its numerator), with a median calibration ratio (observed / null median) of 0.963 (IQR [0.918, 0.998]), whereas raw JS misreported 36.7% of the pairs (11 of 30, CI [0.219, 0.545]) and cosine distance 23.3% (7 of 30, CI [0.118, 0.409]) as divergence (Fig. 4d).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among the four continuous divergence metrics (FPR 28.6%, CI [26.8, 30.6], versus 45.2% for raw JS, 44.1% for cosine, 40.6% for Spearman distance, 37.6% for k_f alone, and 35.7% for the baseline component k_n; Fig. 4b, c), and ω was below raw JS in 10 of 10 cell classes (below cosine in 9 of 10, below Spearman in 8 of 10; per-class raw-JS-to-ω FPR ratios 1.2–2.3). Marker Jaccard distance was lower still (T1 FPR 19.9%, below ω in all ten cell classes; T2 74.7% versus 90.9% for ω): judged on the false-positive statistic alone, it separates the tiers at least as well as ω (T3−T1 FPR gap 0.60 versus 0.56; T3/T1 ratio 4.0 versus 3.0), so the misreporting claim for ω is restricted to the continuous divergence metrics. Its advantage over marker Jaccard lies elsewhere: Jaccard responded weakest to genuine regional divergence (T3 calibration ratio 1.41 versus 1.80 for ω and 2.98 for raw JS) and, as a single set-overlap statistic, offers no k_n/k_f decomposition—the component split that localizes the TCGA reversal and the LUAD driver contrast (below)—so ω occupies the better trade-off between drift specificity, sensitivity to biology, and interpretability. At T2 the picture is not immunity but relative calibration: all metrics fire on most pairs (donor differences contain real biology), and ω again misreported least among the continuous divergence metrics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The Kang cross-lane replicates, with at least 50 cells per group, sit toward the small end of this size range, where misreporting is lowest—the 0-of-30 Kang outcome and the 28.6% brain T1 rate are therefore consistent under the size-dependence of the technical component.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the continuous divergence metrics (raw JS, cosine, Spearman, k_f) at every tier, with sensitivity to genuine regional divergence preserved (Fig. 4; audit trails in the companion repository; Section 3.12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functional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3,563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5; Supplementary Fig. 4). A consistent pan-cancer reversal emerged: in all five cancer types, NN pairs were more divergent than TT pairs—the ratio of mean NN to mean TT ω ranked LUAD 2.46 (95% CI 2.13–2.86; sample-level cluster bootstrap, B = 1,000), KIRC 1.90 (1.65–2.17), LUSC 1.82 (1.46–2.25), BRCA 1.57 (1.35–1.83), and LIHC 1.13 (0.97–1.34)—with the bootstrap CI excluding 1 in four of five cancers (LIHC CI including 1, direction consistent in all five; pair-level Mann-Whitney P-values, which ignore dyadic dependence between pairs, are reported as descriptive only in Section 3.13 of the Supplementary Information). Component decomposition identified the mechanism: in every cancer type the housekeeping baseline was elevated in tumors—TT k_n exceeded NN k_n by 2.1–3.6-fold at the median (mean-ratio 95% CIs excluding 1 in all five cancers, e.g. KIRC 3.21 [2.51, 4.28], LIHC 1.41 [1.08, 1.98])—whereas TT k_f was equal to or higher than NN k_f (e.g. LUAD 0.282 versus 0.226). The reversal therefore reflects a more stable housekeeping baseline among adjacent non-tumor specimens, not smaller functional-gene divergence of tumor cells (Fig. 5a).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 double mutants, n = 2, excluded) using per-tumor ω (the mean over each tumor’s within-cohort TT pairs; Fig. 5b).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The k_f/k_n decomposition separated the two drivers’ associations mechanistically (Fig. 5c,d): the KRAS contrast carried a functional component (KRAS versus EGFR under k_f alone, Dunn–Holm P = 0.015; KRAS−WT k_f difference 0.011, 95% CI 0.002–0.019) accompanied by a lower k_n (WT &gt; KRAS, Dunn–Holm P = 4.2 × 10⁻⁴), both of which raise the ratio. Because driver classes could differ in tumor purity, we scored every tumor with the ESTIMATE stromal and immune signatures and used the combined admixture score as a covariate (Methods): admixture differed across driver groups, highest in EGFR-mutant tumors (Kruskal-Wallis P = 0.003), and after admixture adjustment the KRAS–wild-type difference remained significant for both components (Δω +16.8, P = 4.0 × 10⁻⁶; Δk_f +0.012, P = 0.009; Δk_n −0.0004, P = 0.003), whereas EGFR-mutant tumors no longer differed from wild-type in any metric (all P &gt; 0.4)—the apparent EGFR elevation is attributable to stromal/immune admixture rather than to a baseline shift. KRAS-mutant tumors were strongly enriched for ever-smokers (94% versus 63% in EGFR-mutant and 86% in wild-type tumors, χ² = 30.3, P = 2.7 × 10⁻⁷), yet adjusting for smoking status—alone or jointly with age, sex, and admixture—left the KRAS–wild-type differences essentially unchanged (Δω +13.9, P = 5.9 × 10⁻⁴ with smoking alone; +13.6, P = 3.3 × 10⁻⁴ in the joint model, with both components likewise retained; Section 3.13 of the Supplementary Information). That a single bulk-level statistic, read through its components, distinguishes a functionally divergent driver class (KRAS, robust to purity and smoking adjustment) from an apparent association explained by admixture (EGFR) is precisely the decomposition CKI is designed to provide—although these remain observational associations: the admixture score is an ESTIMATE-style proxy rather than a consensus-purity estimate (it is monotonically equivalent to published ESTIMATE purity, so regression-adjusted conclusions are unaffected), and pack-years data were too sparse to model (smoking status covered 427 of 492 tumors, 87%).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Three controls bound the interpretation of the pan-cancer reversal. First, a four-panel marker composition check (immune, myeloid, stromal, epithelial) with sample-level cluster bootstrap found the pooled tumor-pair k_n coefficient essentially unchanged after composition adjustment (−1.2%, bootstrap 95% CI −4.1% to +2.6%; per cancer type −16% to +37%), so marker-measurable composition explains little of the pooled reversal, though as a noisy proxy it bounds rather than settles the question (Supplementary Note 8). A gene-signature purity sensitivity settles the direction: scoring every sample with the ESTIMATE stromal and immune signatures (combined admixture; Methods), per-tumor k_n correlated negatively with admixture in every cancer type (r = −0.21 to −0.42), so admixture can only weaken, not create, the TT k_n elevation—and restricting tumor–tumor comparisons to the low-admixture (high-purity) half of tumors increased the NN/TT ratio in all five cancer types (LUAD 2.46 → 2.86, 95% CI 2.41–3.45; LIHC 1.13 → 1.22, its CI still including 1, so the four-of-five CI caliber is preserved; Section 3.13 of the Supplementary Information). The reversal is therefore not an artefact of stromal or immune admixture. Second, all reported TCGA statistics were recomputed under a linear probability mapping (p_i = (TPM + 1)/Σ(TPM + 1), replacing the softmax-over-log2 map), and this linear re-computation is the authoritative caliber throughout: the reversal, its ranking, the k_n elevation, and the LUAD mutation gradient were preserved in direction and rank order, although the LIHC effect size is mapping-sensitive and quantitatively weaker under the linear mapping (NN/TT mean ratio 1.13 versus 1.31 under the softmax mapping; softmax-caliber values are archived as a sensitivity analysis in Section 1.7 of the Supplementary Information). Third, the k_f/k_n decomposition itself localizes the reversal in the denominator, which composition adjustment of k_n leaves intact.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1.06, 95% CI 0.85–1.32, P = 0.59, adjusted for stage, grade, age, and sex; Methods), so the reversal is a descriptive property of tissue-state divergence, not a prognostic marker.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Supplementary Note 9.</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6; Table 2; Supplementary Fig. 5). The cross-organ ω ranking reveals a broad spectrum of conservation across 17 cell types, of which only the extremes reproduce under k_f (Supplementary Note 9)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18</w:t>
      </w:r>
      <w:r>
        <w:rPr>
          <w:rFonts w:ascii="Arial" w:hAnsi="Arial"/>
          <w:b w:val="0"/>
          <w:i w:val="0"/>
          <w:color w:val="000000"/>
          <w:sz w:val="22"/>
        </w:rPr>
        <w:t>,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7;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Supplementary Note 2;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19</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20</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21</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22–24</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25,26</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21</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27</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28,29</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30</w:t>
      </w:r>
      <w:r>
        <w:rPr>
          <w:rFonts w:ascii="Arial" w:hAnsi="Arial"/>
          <w:b w:val="0"/>
          <w:i w:val="0"/>
          <w:color w:val="000000"/>
          <w:sz w:val="22"/>
        </w:rPr>
        <w:t xml:space="preserve">; cerebellar molecular topography </w:t>
      </w:r>
      <w:r>
        <w:rPr>
          <w:rFonts w:ascii="Arial" w:hAnsi="Arial"/>
          <w:b w:val="0"/>
          <w:i w:val="0"/>
          <w:color w:val="000000"/>
          <w:sz w:val="22"/>
          <w:vertAlign w:val="superscript"/>
        </w:rPr>
        <w:t>28</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31</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13,32</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33–35</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36</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37</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38</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1.13–2.46,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39</w:t>
      </w:r>
      <w:r>
        <w:rPr>
          <w:rFonts w:ascii="Arial" w:hAnsi="Arial"/>
          <w:b w:val="0"/>
          <w:i w:val="0"/>
          <w:color w:val="000000"/>
          <w:sz w:val="22"/>
        </w:rPr>
        <w:t xml:space="preserve"> or RNA-quality differences instead, and single-cell or deconvolution-based validation remains necessary. Two further limitations bound the bulk analysis: within each cancer type, tumor and adjacent non-tumor aliquots differ systematically in tissue-source site and processing batch (a known TCGA property), so part of the NN/TT contrast could track these technical strata—we did not test a batch-matched subset; and adjacent non-tumor tissue from cancer patients is not healthy tissue, so separating tumor-specific housekeeping elevation from field effects will ultimately require an external healthy reference (e.g., GTEx), which we leave to future work. Within LUAD, the KRAS enrichment among ever-smokers mirrors known lung-adenocarcinoma epidemiology, yet smoking status itself does not carry the divergence association, so the KRAS-linked functional divergence is unlikely to be a smoking-field effect; and although the purity adjustment relies on an ESTIMATE-style signature score rather than a consensus-purity estimate, the score is monotonically equivalent to published ESTIMATE purity, leaving the adjusted conclusions unchanged.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27</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40</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41,42</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27</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the continuous divergence metrics at every tier of the drift ladder while retaining sensitivity to genuine regional divergence; marker Jaccard was more conservative still but offers no k_n/k_f decomposition;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39</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43</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44</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46</w:t>
      </w:r>
      <w:r>
        <w:rPr>
          <w:rFonts w:ascii="Arial" w:hAnsi="Arial"/>
          <w:b w:val="0"/>
          <w:i w:val="0"/>
          <w:color w:val="000000"/>
          <w:sz w:val="22"/>
        </w:rPr>
        <w:t xml:space="preserve"> with flavor="seurat" </w:t>
      </w:r>
      <w:r>
        <w:rPr>
          <w:rFonts w:ascii="Arial" w:hAnsi="Arial"/>
          <w:b w:val="0"/>
          <w:i w:val="0"/>
          <w:color w:val="000000"/>
          <w:sz w:val="22"/>
          <w:vertAlign w:val="superscript"/>
        </w:rPr>
        <w:t>47,48</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493 tumor + 76 normal; LUSC: 567 tumor + 58 normal; LIHC: 365 tumor + 57 normal; KIRC: 746 tumor + 82 normal; BRCA: 1010 tumor + 109 normal (3,563 samples entering the pair-level analysis; 33 expression-matrix samples were excluded for missing barcode matching or pair coverage).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16,17</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15</w:t>
      </w:r>
      <w:r>
        <w:rPr>
          <w:rFonts w:ascii="Arial" w:hAnsi="Arial"/>
          <w:b w:val="0"/>
          <w:i w:val="0"/>
          <w:color w:val="000000"/>
          <w:sz w:val="22"/>
        </w:rPr>
        <w:t>: from cBioPortal, 288 tumors. LUAD mutations: from cBioPortal, 492 samples (61 EGFR, 120 KRAS, 311 WT).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16,17</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15</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w:t>
      </w:r>
      <w:r>
        <w:rPr>
          <w:rFonts w:ascii="Arial" w:hAnsi="Arial"/>
          <w:b w:val="0"/>
          <w:i w:val="0"/>
          <w:color w:val="000000"/>
          <w:sz w:val="22"/>
          <w:vertAlign w:val="superscript"/>
        </w:rPr>
        <w:t>46</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52</w:t>
      </w:r>
      <w:r>
        <w:rPr>
          <w:rFonts w:ascii="Arial" w:hAnsi="Arial"/>
          <w:b w:val="0"/>
          <w:i w:val="0"/>
          <w:color w:val="000000"/>
          <w:sz w:val="22"/>
        </w:rPr>
        <w:t xml:space="preserve"> ≥ 0.12.0, and scikit-learn </w:t>
      </w:r>
      <w:r>
        <w:rPr>
          <w:rFonts w:ascii="Arial" w:hAnsi="Arial"/>
          <w:b w:val="0"/>
          <w:i w:val="0"/>
          <w:color w:val="000000"/>
          <w:sz w:val="22"/>
          <w:vertAlign w:val="superscript"/>
        </w:rPr>
        <w:t>53</w:t>
      </w:r>
      <w:r>
        <w:rPr>
          <w:rFonts w:ascii="Arial" w:hAnsi="Arial"/>
          <w:b w:val="0"/>
          <w:i w:val="0"/>
          <w:color w:val="000000"/>
          <w:sz w:val="22"/>
        </w:rPr>
        <w:t xml:space="preserve">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54</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Broad Institute Molecular Signatures Database.</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16.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17.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18.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19.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20.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21.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22.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23.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24.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25.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26.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27.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28.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29.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30.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31.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32.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33.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34.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35. Raj, A. &amp; van Oudenaarden, A. Nature, nurture, or chance: stochastic gene expression variation and its consequences on individual cellular fitness.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36.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37. Jiang, J. et al. CACIMAR: cross-species analysis of cell identities, markers, regulations, and interactions.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38.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39.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40.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41.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42.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43.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44.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45.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46.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47.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 (2021).</w:t>
      </w:r>
    </w:p>
    <w:p>
      <w:pPr>
        <w:spacing w:line="276" w:lineRule="auto" w:after="60"/>
      </w:pPr>
      <w:r>
        <w:rPr>
          <w:rFonts w:ascii="Arial" w:hAnsi="Arial"/>
          <w:b w:val="0"/>
          <w:i w:val="0"/>
          <w:color w:val="000000"/>
          <w:sz w:val="20"/>
        </w:rPr>
        <w:t xml:space="preserve">48.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53.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54. Efron, B. &amp; Tibshirani, R. J. An Introduction to the Bootstrap (Chapman and Hall/CRC, 1994).</w:t>
      </w:r>
    </w:p>
    <w:p>
      <w:pPr>
        <w:spacing w:line="276" w:lineRule="auto" w:after="60"/>
      </w:pPr>
      <w:r>
        <w:rPr>
          <w:rFonts w:ascii="Arial" w:hAnsi="Arial"/>
          <w:b w:val="0"/>
          <w:i w:val="0"/>
          <w:color w:val="000000"/>
          <w:sz w:val="20"/>
        </w:rPr>
        <w:t xml:space="preserve">55.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56.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Supplementary Tables 1–4,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5.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whereas the EGFR association appears only in the k_n baseline (WT &gt; KRAS, P_Holm = 4.2 × 10⁻⁴) and does not survive purity adjustment (all adjusted P &gt; 0.4). All values from the linear-normalization re-computation (Methods).</w:t>
      </w:r>
    </w:p>
    <w:p>
      <w:pPr>
        <w:spacing w:line="276" w:lineRule="auto" w:after="80"/>
        <w:ind w:firstLine="0"/>
      </w:pPr>
      <w:r>
        <w:rPr>
          <w:rFonts w:ascii="Arial" w:hAnsi="Arial"/>
          <w:b w:val="0"/>
          <w:i w:val="0"/>
          <w:color w:val="000000"/>
          <w:sz w:val="22"/>
        </w:rPr>
        <w:t>Figure 6.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7.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