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200);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4;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3,563 samples entering the pair-level analysis (from 10,535 raw TCGA samples after filtering; 33 expression-matrix samples excluded for missing barcode matching or pair coverage)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5a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5;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6):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7)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200).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Outputs: results/nc49_tcga_pancancer.csv, results/nc49_tcga_luad_mutation.csv, results/nc49_pilot_lihc_cox.csv, results/nc49_tcga_purity.csv, results/nc49_tcga_admix_scores.csv, results/nc49_tcga_luad_smoking.csv.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4), notebooks/nc49_fig_tcga.py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v49: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v49: Verify TCGA sample count n = 3,563 and NN/TT mean ratios 1.13–2.46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2026-09-18T16:10:58.700Z</dcterms:created>
  <dcterms:modified xsi:type="dcterms:W3CDTF">2026-09-18T16:10:58.703Z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