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102206,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ranked first for functional-versus-neutral discrimination (AUC = 0.80). On real technical replicates, ω misreported none of 30 Kang IFN-β cross-lane pairs and had the lowest false-report rate among continuous divergence metrics on 2,161 brain library pairs (28.6% versus 45.2% for raw JS), though this specificity decays with group size. In 3,567 TCGA samples across five cancer types, ω revealed a consistent pan-cancer reversal—tumor specimens less divergent than adjacent non-tumor tissue (ratio 1.10–2.46, CI excluding 1 in four of five cancers)—driven by a 1.3–3.3-fold elevated housekeeping baseline, not reduced functional divergence; in lung adenocarcinoma, KRAS-mutant tumors showed elevated tissue-level divergence whose functional (k_f) and baseline (k_n) components both survived adjustment for tumor purity and smoking, whereas the apparent EGFR-mutant association was attributable to stromal/immune admixture. Brain analysis revealed a 6.10-fold regional gradient (size-balanced estimate 1.74 [1.64, 1.84]).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five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on real technical replicates—30 same-donor cross-lane pairs in an IFN-β PBMC cohort and 2,161 same-donor, same-region library pairs in the brain atlas—ω showed the lowest drift misreporting among continuous divergence metrics while retaining sensitivity to genuine biology (Results). Fourth,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mapped tissue-level functional divergence across five cancer types and 3,567 samples, uncovering a consistent pan-cancer reversal—tumor specimens less divergent than adjacent non-tumor tissue, attributable to an elevated housekeeping baseline—and resolving driver-class differences in lung adenocarcinoma, where KRAS-mutant tumors retained both functional (k_f) and baseline (k_n) divergence after purity and smoking adjustment, whereas the apparent EGFR association dissolved under purity adjustment (Results). Fifth,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The simulation’s neutral-drift benchmark concerns synthetic drift; we therefore tested the same specificity property on real technical replicates with a ground truth of no functional difference, using a per-pair size-matched (n-matched) cell-shuffle null: the nuclei of the two libraries being compared are pooled, permuted, and re-split into disjoint subsets of exactly the observed group sizes, so each pair is calibrated against its own sampling-noise distribution (B = 200 per pair; Methods). In the first batch of the IFN-β PBMC dataset </w:t>
      </w:r>
      <w:r>
        <w:rPr>
          <w:rFonts w:ascii="Arial" w:hAnsi="Arial"/>
          <w:b w:val="0"/>
          <w:i w:val="0"/>
          <w:color w:val="000000"/>
          <w:sz w:val="22"/>
          <w:vertAlign w:val="superscript"/>
        </w:rPr>
        <w:t>14</w:t>
      </w:r>
      <w:r>
        <w:rPr>
          <w:rFonts w:ascii="Arial" w:hAnsi="Arial"/>
          <w:b w:val="0"/>
          <w:i w:val="0"/>
          <w:color w:val="000000"/>
          <w:sz w:val="22"/>
        </w:rPr>
        <w:t>—eight unstimulated donors captured across three 10x lanes such that every donor appears in exactly two lanes—the resulting 30 same-donor, same-condition cross-lane pairs provide clean technical replicates. Here ω was fully calibrated: no pair exceeded its own null 95th percentile (0 of 30, Wilson 95% CI [0.000, 0.114]; k_f alone was likewise 0 of 30—on this dataset ω adds no increment over its numerator), with a median calibration ratio (observed / null median) of 0.963 (IQR [0.918, 0.998]), whereas raw JS misreported 36.7% of the pairs (11 of 30, CI [0.219, 0.545]) and cosine distance 23.3% (7 of 30, CI [0.118, 0.409]) as divergence (Fig. 4d).</w:t>
      </w:r>
    </w:p>
    <w:p>
      <w:pPr>
        <w:spacing w:line="276" w:lineRule="auto" w:after="80"/>
        <w:ind w:firstLine="0"/>
      </w:pPr>
      <w:r>
        <w:rPr>
          <w:rFonts w:ascii="Arial" w:hAnsi="Arial"/>
          <w:b w:val="0"/>
          <w:i w:val="0"/>
          <w:color w:val="000000"/>
          <w:sz w:val="22"/>
        </w:rPr>
        <w:t xml:space="preserve">The same design scales to the brain atlas, where 606 10x libraries are nested within (donor, region) combinations, yielding a four-tier drift ladder of library-level pairs within each cell type: same-library splits are embedded in the per-pair null; T1 pairs two libraries of the same donor, region, and cell type (pure technical drift; 2,161 pairs); T2 crosses donors within a region (technical plus inter-individual drift; 1,089 pairs); T3 crosses regions within a donor (regional biology; positive control; 1,656 pairs) </w:t>
      </w:r>
      <w:r>
        <w:rPr>
          <w:rFonts w:ascii="Arial" w:hAnsi="Arial"/>
          <w:b w:val="0"/>
          <w:i w:val="0"/>
          <w:color w:val="000000"/>
          <w:sz w:val="22"/>
          <w:vertAlign w:val="superscript"/>
        </w:rPr>
        <w:t>12</w:t>
      </w:r>
      <w:r>
        <w:rPr>
          <w:rFonts w:ascii="Arial" w:hAnsi="Arial"/>
          <w:b w:val="0"/>
          <w:i w:val="0"/>
          <w:color w:val="000000"/>
          <w:sz w:val="22"/>
        </w:rPr>
        <w:t>. On T1, ω had the lowest misreporting rate among the four continuous divergence metrics (FPR 28.6%, CI [26.8, 30.6], versus 45.2% for raw JS, 44.1% for cosine, 40.6% for Spearman distance, 37.6% for k_f alone, and 35.7% for the baseline component k_n; Fig. 4b, c), and ω was below raw JS in 10 of 10 cell classes (below cosine in 9 of 10, below Spearman in 8 of 10; per-class raw-JS-to-ω FPR ratios 1.2–2.3). Marker Jaccard distance was lower still (T1 FPR 19.9%, below ω in all ten cell classes; T2 74.7% versus 90.9% for ω): judged on the false-positive statistic alone, it separates the tiers at least as well as ω (T3−T1 FPR gap 0.60 versus 0.56; T3/T1 ratio 4.0 versus 3.0), so the misreporting claim for ω is restricted to the continuous divergence metrics. Its advantage over marker Jaccard lies elsewhere: Jaccard responded weakest to genuine regional divergence (T3 calibration ratio 1.41 versus 1.80 for ω and 2.98 for raw JS) and, as a single set-overlap statistic, offers no k_n/k_f decomposition—the component split that localizes the TCGA reversal and the LUAD driver contrast (below)—so ω occupies the better trade-off between drift specificity, sensitivity to biology, and interpretability. At T2 the picture is not immunity but relative calibration: all metrics fire on most pairs (donor differences contain real biology), and ω again misreported least among the continuous divergence metrics (90.9% versus 98.4–98.7% for raw JS and k_f; calibration ratio 1.76 versus 3.32 and 3.22). At T3, every metric rose (ω calibration 1.80; raw JS 2.98), confirming that ω retains sensitivity to regional biology—across the ladder the ω calibration gradient is the shallowest of all metrics (1.04 → 1.76 → 1.80, versus 1.07 → 3.32 → 2.98 for raw JS), so ω best separates technical drift from biology in relative terms, not absolutely.</w:t>
      </w:r>
    </w:p>
    <w:p>
      <w:pPr>
        <w:spacing w:line="276" w:lineRule="auto" w:after="80"/>
        <w:ind w:firstLine="0"/>
      </w:pPr>
      <w:r>
        <w:rPr>
          <w:rFonts w:ascii="Arial" w:hAnsi="Arial"/>
          <w:b w:val="0"/>
          <w:i w:val="0"/>
          <w:color w:val="000000"/>
          <w:sz w:val="22"/>
        </w:rPr>
        <w:t>Two honest qualifications temper the brain result. First, the absolute ω FPR is not zero, and it grows with group size—from 14.1% for pairs with at most 30 nuclei per library to 48.0% for pairs exceeding 500 (raw JS from 28.6% to 72.5%)—indicating a real library-level technical component (capture efficiency, depth) that grows detectable with power and that the k_n denominator absorbs only partially: on T1 the k_n calibration itself sits at 1.05, so the housekeeping anchor removes most but not all of the drift. The Kang cross-lane replicates, with at least 50 cells per group, sit toward the small end of this size range, where misreporting is lowest—the 0-of-30 Kang outcome and the 28.6% brain T1 rate are therefore consistent under the size-dependence of the technical component. Second, a minority of cell classes show gene-specific library effects that the anchor cannot absorb: choroid plexus (9 pairs, median calibration 2.31) and Bergmann glia (27 pairs, 1.16) exceed the null most strongly—in choroid plexus, two libraries of the same donor, region, and type differ in k_f by up to 137-fold. The ladder thereby also quantifies the library-level structure that the block-shuffle null retains by design (Methods): the Bergmann-glia block-shuffle null mean (21.9) lying far above its split-half baseline (9.7) reflects precisely this within-donor, within-region technical divergence. The simulation-level claim of absolute neutral-drift immunity thus transfers to real data only as a relative-calibration advantage—lowest misreporting among the continuous divergence metrics (raw JS, cosine, Spearman, k_f) at every tier, with sensitivity to genuine regional divergence preserved (Fig. 4; audit trails in the companion repository; Section 3.12 of the Supplementary Information).</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3,567 samples, and asked how tissue-level functional divergence is reorganized when cancer develops. Because bulk RNA-seq averages over tumor, stromal, and immune compartments, ω here quantifies divergence between tissue states rather than between cell types; we therefore compare tumor–tumor (TT), normal–normal (NN), and tumor–normal (TN) pairs within each cancer type (Fig. 5; Supplementary Fig. 4). A consistent pan-cancer reversal emerged: in all five cancer types, NN pairs were more divergent than TT pairs—the ratio of mean NN to mean TT ω ranked LUAD 2.46 (95% CI 2.13–2.86; sample-level cluster bootstrap, B = 1,000), KIRC 1.88 (1.63–2.16), LUSC 1.71 (1.38–2.09), BRCA 1.57 (1.34–1.84), and LIHC 1.10 (0.93–1.29)—with the bootstrap CI excluding 1 in four of five cancers (LIHC CI including 1, direction consistent in all five; pair-level Mann-Whitney P-values, which ignore dyadic dependence between pairs, are reported as descriptive only in Section 3.13 of the Supplementary Information). Component decomposition identified the mechanism: in every cancer type the housekeeping baseline was elevated in tumors—TT k_n exceeded NN k_n by 1.3–3.3-fold (mean ratios; 95% CIs excluding 1 in all five cancers, e.g. KIRC 3.29 [2.54, 4.35], LIHC 1.35 [1.02, 1.88])—whereas TT k_f was equal to or higher than NN k_f (e.g. LUAD 0.282 versus 0.226). The reversal therefore reflects a more stable housekeeping baseline among adjacent non-tumor specimens, not smaller functional-gene divergence of tumor cells (Fig. 5a).</w:t>
      </w:r>
    </w:p>
    <w:p>
      <w:pPr>
        <w:spacing w:line="276" w:lineRule="auto" w:after="80"/>
        <w:ind w:firstLine="0"/>
      </w:pPr>
      <w:r>
        <w:rPr>
          <w:rFonts w:ascii="Arial" w:hAnsi="Arial"/>
          <w:b w:val="0"/>
          <w:i w:val="0"/>
          <w:color w:val="000000"/>
          <w:sz w:val="22"/>
        </w:rPr>
        <w:t>To ask whether the ratio resolves biologically distinct tumor states, we stratified LUAD tumors by driver mutation (EGFR-mutant n = 61, KRAS-mutant n = 120, wild-type n = 311—wild-type for EGFR and KRAS, since tumors carrying other drivers were not separately excluded; double mutants, n = 2, excluded) using per-tumor ω (the mean over all TT pairs in which a tumor participates, including pairs with tumors of other driver classes, so the group means are not formed from disjoint pair sets; Fig. 5b). KRAS-mutant tumors showed the highest tissue-level divergence (mean ω = 136.9), exceeding wild-type (115.4; Kruskal-Wallis across groups P = 7.8 × 10⁻⁷; Dunn–Holm P = 3.6 × 10⁻⁷) and EGFR-mutant tumors (122.2; Dunn–Holm P = 0.008), while EGFR-mutant and wild-type tumors did not differ significantly (Dunn–Holm P = 0.39; bootstrap difference 6.8, 95% CI −2.1 to 15.2). The k_f/k_n decomposition separated the two drivers’ associations mechanistically (Fig. 5c,d): the KRAS contrast carried a functional component (KRAS versus EGFR under k_f alone, Dunn–Holm P = 0.015; KRAS−WT k_f difference 0.011, 95% CI 0.002–0.019) accompanied by a lower k_n (WT &gt; KRAS, Dunn–Holm P = 4.2 × 10⁻⁴), both of which raise the ratio. The elevation was carried predominantly by the lower baseline (k_n contributed ~84% of the log-ω gap; the unadjusted k_f contrast was non-significant, Dunn P = 0.097). Because driver classes could differ in tumor purity, we scored every tumor with the ESTIMATE stromal and immune signatures and used the combined admixture score as a covariate (Methods): admixture differed across driver groups, highest in EGFR-mutant tumors (Kruskal-Wallis P = 0.003), and after admixture adjustment the KRAS–wild-type difference remained significant for both components (Δω +16.8, P = 4.0 × 10⁻⁶; Δk_f +0.012, P = 0.009; Δk_n −0.0004, P = 0.003), whereas EGFR-mutant tumors no longer differed from wild-type in any metric (all P &gt; 0.4)—the apparent EGFR elevation is attributable to stromal/immune admixture rather than to a baseline shift. KRAS-mutant tumors were strongly enriched for ever-smokers (94% versus 63% in EGFR-mutant and 86% in wild-type tumors, χ² = 30.3, P = 2.7 × 10⁻⁷), yet adjusting for smoking status—alone or jointly with age, sex, and admixture—left the KRAS–wild-type differences essentially unchanged (Δω +13.9, P = 5.9 × 10⁻⁴ with smoking alone; +13.6, P = 3.3 × 10⁻⁴ in the joint model, with both components likewise retained; Section 3.13 of the Supplementary Information). That a single bulk-level statistic, read through its components, distinguishes a functionally divergent driver class (KRAS, robust to purity and smoking adjustment) from an apparent association explained by admixture (EGFR) is precisely the decomposition CKI is designed to provide—although these remain observational associations: the admixture score is an ESTIMATE-style proxy rather than a consensus-purity estimate (it is monotonically equivalent to published ESTIMATE purity, so regression-adjusted conclusions are unaffected), and pack-years data were too sparse to model (smoking status covered 427 of 492 tumors, 87%). Within-cancer-type stratification analyses beyond LUAD (LIHC Edmondson grade, BRCA PAM50) are reported as denominator-dominated vignettes in the Supplementary Information (Supplementary Note 9; Supplementary Fig. 4b), because both orderings reverse under k_f alone.</w:t>
      </w:r>
    </w:p>
    <w:p>
      <w:pPr>
        <w:spacing w:line="276" w:lineRule="auto" w:after="80"/>
        <w:ind w:firstLine="0"/>
      </w:pPr>
      <w:r>
        <w:rPr>
          <w:rFonts w:ascii="Arial" w:hAnsi="Arial"/>
          <w:b w:val="0"/>
          <w:i w:val="0"/>
          <w:color w:val="000000"/>
          <w:sz w:val="22"/>
        </w:rPr>
        <w:t xml:space="preserve">Three controls bound the interpretation of the pan-cancer reversal. First, a four-panel marker composition check (immune, myeloid, stromal, epithelial) with sample-level cluster bootstrap found the pooled tumor-pair k_n coefficient essentially unchanged after composition adjustment (−1.2%, bootstrap 95% CI −4.1% to +2.6%; per cancer type −16% to +37%), so marker-measurable composition explains little of the pooled reversal, though as a noisy proxy it bounds rather than settles the question (Supplementary Note 8). A gene-signature purity sensitivity settles the direction: scoring every sample with the ESTIMATE stromal and immune signatures (combined admixture; Methods), per-tumor k_n correlated negatively with admixture in every cancer type (r = −0.23 to −0.42), so admixture can only weaken, not create, the TT k_n elevation—and restricting tumor–tumor comparisons to the low-admixture (high-purity) half of tumors increased the NN/TT ratio in all five cancer types (LUAD 2.46 → 2.86, 95% CI 2.41–3.45; LIHC 1.10 → 1.17, its CI still including 1, so the four-of-five CI caliber is preserved; Section 3.13 of the Supplementary Information). The reversal is therefore not an artefact of stromal or immune admixture. Second, all reported TCGA statistics were recomputed under a linear probability mapping (p_i = (TPM + 1)/Σ(TPM + 1), replacing the softmax-over-log2 map), and this linear re-computation is the authoritative caliber throughout: the reversal, its ranking, the k_n elevation, and the LUAD mutation gradient were preserved in direction and rank order, although the LIHC effect size is mapping-sensitive and quantitatively weaker under the linear mapping (NN/TT mean ratio 1.10 versus 1.31 under the softmax mapping; softmax-caliber values are archived as a sensitivity analysis in Section 1.7 of the Supplementary Information). Third, the k_f/k_n decomposition itself localizes the reversal in the denominator, which composition adjustment of k_n leaves intact; a fixed-panel ablation of the per-pair top-200 selection was run for the brain pipeline (Supplementary Note 7) but not for bulk TCGA, so the k_f panel choice remains a residual caveat for the bulk numerator, though not for the denominator-driven reversal. Two further checks bound the numerator’s meaning: enrichment of the LUAD KRAS tumor–tumor identity panels (7,260 pairs, top-200 genes per pair) against the 50 MSigDB Hallmark programs </w:t>
      </w:r>
      <w:r>
        <w:rPr>
          <w:rFonts w:ascii="Arial" w:hAnsi="Arial"/>
          <w:b w:val="0"/>
          <w:i w:val="0"/>
          <w:color w:val="000000"/>
          <w:sz w:val="22"/>
          <w:vertAlign w:val="superscript"/>
        </w:rPr>
        <w:t>56</w:t>
      </w:r>
      <w:r>
        <w:rPr>
          <w:rFonts w:ascii="Arial" w:hAnsi="Arial"/>
          <w:b w:val="0"/>
          <w:i w:val="0"/>
          <w:color w:val="000000"/>
          <w:sz w:val="22"/>
        </w:rPr>
        <w:t xml:space="preserve"> found no program surviving multiple-testing correction (all q ≥ 0.24), consistent with a distributed identity-gene signal rather than a single-pathway artefact; and a pair-level composition regression of log k_f with the admixture covariates retained the TT ≥ NN k_f ordering in all five cancer types (e.g., LUAD adjusted log gap +0.21, P = 8 × 10⁻⁸⁰; Section 3.13 of the Supplementary Information). Remaining limitations are inherent to bulk resolution: TCGA “normal” samples are adjacent non-tumor tissues from cancer patients, not healthy donor tissue, so NN comparisons quantify heterogeneity among adjacent non-tumor specimens; RNA quality differences between tumor and normal specimens cannot be excluded; and per-tumor ω was not associated with overall survival in LIHC (Cox hazard ratio per SD 1.07, 95% CI 0.88–1.31, P = 0.48, adjusted for stage, grade, age, and sex; Methods), so the reversal is a descriptive property of tissue-state divergence, not a prognostic marker. We report all TCGA findings as tissue-level functional divergence at bulk resolution, pending single-cell or deconvolution-based validation.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Supplementary Note 9.</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6; Table 2; Supplementary Fig. 5). The cross-organ ω ranking reveals a broad spectrum of conservation across 17 cell types, of which only the extremes reproduce under k_f (Supplementary Note 9)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18</w:t>
      </w:r>
      <w:r>
        <w:rPr>
          <w:rFonts w:ascii="Arial" w:hAnsi="Arial"/>
          <w:b w:val="0"/>
          <w:i w:val="0"/>
          <w:color w:val="000000"/>
          <w:sz w:val="22"/>
        </w:rPr>
        <w:t>,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7;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Supplementary Note 2;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19</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20</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21</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22–24</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25,26</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21</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27</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28,29</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30</w:t>
      </w:r>
      <w:r>
        <w:rPr>
          <w:rFonts w:ascii="Arial" w:hAnsi="Arial"/>
          <w:b w:val="0"/>
          <w:i w:val="0"/>
          <w:color w:val="000000"/>
          <w:sz w:val="22"/>
        </w:rPr>
        <w:t xml:space="preserve">; cerebellar molecular topography </w:t>
      </w:r>
      <w:r>
        <w:rPr>
          <w:rFonts w:ascii="Arial" w:hAnsi="Arial"/>
          <w:b w:val="0"/>
          <w:i w:val="0"/>
          <w:color w:val="000000"/>
          <w:sz w:val="22"/>
          <w:vertAlign w:val="superscript"/>
        </w:rPr>
        <w:t>28</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31</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13,32</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33–35</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36</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37</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38</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1.10–2.46, cluster-bootstrap CIs excluding 1 in four of five cancers)—is a robust tissue-level observation whose mechanistic reading remains cautious: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39</w:t>
      </w:r>
      <w:r>
        <w:rPr>
          <w:rFonts w:ascii="Arial" w:hAnsi="Arial"/>
          <w:b w:val="0"/>
          <w:i w:val="0"/>
          <w:color w:val="000000"/>
          <w:sz w:val="22"/>
        </w:rPr>
        <w:t xml:space="preserve"> or RNA-quality differences instead, and single-cell or deconvolution-based validation remains necessary. Two further limitations bound the bulk analysis: within each cancer type, tumor and adjacent non-tumor aliquots differ systematically in tissue-source site and processing batch (a known TCGA property), so part of the NN/TT contrast could track these technical strata—we did not test a batch-matched subset; and adjacent non-tumor tissue from cancer patients is not healthy tissue, so separating tumor-specific housekeeping elevation from field effects will ultimately require an external healthy reference (e.g., GTEx), which we leave to future work. Within LUAD, the KRAS enrichment among ever-smokers mirrors known lung-adenocarcinoma epidemiology, yet smoking status itself does not carry the divergence association, so the KRAS-linked functional divergence is unlikely to be a smoking-field effect; and although the purity adjustment relies on an ESTIMATE-style signature score rather than a consensus-purity estimate, the score is monotonically equivalent to published ESTIMATE purity, leaving the adjusted conclusions unchanged.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27</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40</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41,42</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27</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the supplementary stratification vignettes predominantly denominator effects; the LUAD KRAS gradient as the k_f-stable exception; cross-organ cell-type ranking not reproduced under k_f-only; Supplementary Note 9), so the honest default for ordering claims is k_f plus a design-matched null, with ω reserved for its specificity-first property—rejecting HK-anchored neutral drift—rather than for ranking; the real-data neutral-drift calibration on technical replicates supports exactly this reading (ω misreported least among the continuous divergence metrics at every tier of the drift ladder while retaining sensitivity to genuine regional divergence; marker Jaccard was more conservative still but offers no k_n/k_f decomposition; Results).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39</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43</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44</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46</w:t>
      </w:r>
      <w:r>
        <w:rPr>
          <w:rFonts w:ascii="Arial" w:hAnsi="Arial"/>
          <w:b w:val="0"/>
          <w:i w:val="0"/>
          <w:color w:val="000000"/>
          <w:sz w:val="22"/>
        </w:rPr>
        <w:t xml:space="preserve"> with flavor="seurat" </w:t>
      </w:r>
      <w:r>
        <w:rPr>
          <w:rFonts w:ascii="Arial" w:hAnsi="Arial"/>
          <w:b w:val="0"/>
          <w:i w:val="0"/>
          <w:color w:val="000000"/>
          <w:sz w:val="22"/>
          <w:vertAlign w:val="superscript"/>
        </w:rPr>
        <w:t>47,48</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APIs. LUAD: 493 tumor + 76 normal; LUSC: 534 tumor + 58 normal; LIHC: 398 tumor + 57 normal; KIRC: 750 tumor + 82 normal; BRCA: 1010 tumor + 109 normal (3,567 samples entering the pair-level analysis; 29 expression-matrix samples were excluded for missing barcode matching or pair coverage).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16,17</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15</w:t>
      </w:r>
      <w:r>
        <w:rPr>
          <w:rFonts w:ascii="Arial" w:hAnsi="Arial"/>
          <w:b w:val="0"/>
          <w:i w:val="0"/>
          <w:color w:val="000000"/>
          <w:sz w:val="22"/>
        </w:rPr>
        <w:t>: from cBioPortal, 288 tumors. LUAD mutations: from cBioPortal, 492 samples (61 EGFR, 120 KRAS, 311 WT).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distance. Brain drift ladder </w:t>
      </w:r>
      <w:r>
        <w:rPr>
          <w:rFonts w:ascii="Arial" w:hAnsi="Arial"/>
          <w:b w:val="0"/>
          <w:i w:val="0"/>
          <w:color w:val="000000"/>
          <w:sz w:val="22"/>
          <w:vertAlign w:val="superscript"/>
        </w:rPr>
        <w:t>12</w:t>
      </w:r>
      <w:r>
        <w:rPr>
          <w:rFonts w:ascii="Arial" w:hAnsi="Arial"/>
          <w:b w:val="0"/>
          <w:i w:val="0"/>
          <w:color w:val="000000"/>
          <w:sz w:val="22"/>
        </w:rPr>
        <w:t>: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pairs per cancer type drawn by seeded subsampling,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In supplementary within-cancer-type stratification analyses, we computed intratumoral ω for samples within each clinical stratum using the hybrid scheme. BRCA PAM50 subtype calls </w:t>
      </w:r>
      <w:r>
        <w:rPr>
          <w:rFonts w:ascii="Arial" w:hAnsi="Arial"/>
          <w:b w:val="0"/>
          <w:i w:val="0"/>
          <w:color w:val="000000"/>
          <w:sz w:val="22"/>
          <w:vertAlign w:val="superscript"/>
        </w:rPr>
        <w:t>16,17</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15</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w:t>
      </w:r>
      <w:r>
        <w:rPr>
          <w:rFonts w:ascii="Arial" w:hAnsi="Arial"/>
          <w:b w:val="0"/>
          <w:i w:val="0"/>
          <w:color w:val="000000"/>
          <w:sz w:val="22"/>
          <w:vertAlign w:val="superscript"/>
        </w:rPr>
        <w:t>46</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52</w:t>
      </w:r>
      <w:r>
        <w:rPr>
          <w:rFonts w:ascii="Arial" w:hAnsi="Arial"/>
          <w:b w:val="0"/>
          <w:i w:val="0"/>
          <w:color w:val="000000"/>
          <w:sz w:val="22"/>
        </w:rPr>
        <w:t xml:space="preserve"> ≥ 0.12.0, and scikit-learn </w:t>
      </w:r>
      <w:r>
        <w:rPr>
          <w:rFonts w:ascii="Arial" w:hAnsi="Arial"/>
          <w:b w:val="0"/>
          <w:i w:val="0"/>
          <w:color w:val="000000"/>
          <w:sz w:val="22"/>
          <w:vertAlign w:val="superscript"/>
        </w:rPr>
        <w:t>53</w:t>
      </w:r>
      <w:r>
        <w:rPr>
          <w:rFonts w:ascii="Arial" w:hAnsi="Arial"/>
          <w:b w:val="0"/>
          <w:i w:val="0"/>
          <w:color w:val="000000"/>
          <w:sz w:val="22"/>
        </w:rPr>
        <w:t xml:space="preserve">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54</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16.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17.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18.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19.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20.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21.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22.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23.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24.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25.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26.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27.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28.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29.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30.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31.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32.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33.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34.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35. Raj, A. &amp; van Oudenaarden, A. Nature, nurture, or chance: stochastic gene expression variation and its consequences on individual cellular fitness.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36.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37. Jiang, J. et al. CACIMAR: cross-species analysis of cell identities, markers, regulations, and interactions.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38.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39.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40.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41.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42.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43.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44.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45.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46.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47.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 (2021).</w:t>
      </w:r>
    </w:p>
    <w:p>
      <w:pPr>
        <w:spacing w:line="276" w:lineRule="auto" w:after="60"/>
      </w:pPr>
      <w:r>
        <w:rPr>
          <w:rFonts w:ascii="Arial" w:hAnsi="Arial"/>
          <w:b w:val="0"/>
          <w:i w:val="0"/>
          <w:color w:val="000000"/>
          <w:sz w:val="20"/>
        </w:rPr>
        <w:t xml:space="preserve">48.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53.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54. Efron, B. &amp; Tibshirani, R. J. An Introduction to the Bootstrap (Chapman and Hall/CRC, 1994).</w:t>
      </w:r>
    </w:p>
    <w:p>
      <w:pPr>
        <w:spacing w:line="276" w:lineRule="auto" w:after="60"/>
      </w:pPr>
      <w:r>
        <w:rPr>
          <w:rFonts w:ascii="Arial" w:hAnsi="Arial"/>
          <w:b w:val="0"/>
          <w:i w:val="0"/>
          <w:color w:val="000000"/>
          <w:sz w:val="20"/>
        </w:rPr>
        <w:t xml:space="preserve">55.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56.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Supplementary Tables 1–4,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marker Jaccard is lower still on the false-positive statistic (T1 19.9%, T2 74.7%) but responds weakest to real regional divergence (T3 calibration 1.41 versus 1.80 for ω and 2.98 for raw JS; panel b) and offers no k_n/k_f decomposition.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5.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6.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7.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