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Information</w:t>
      </w:r>
    </w:p>
    <w:p>
      <w:r>
        <w:rPr>
          <w:rFonts w:ascii="Arial" w:hAnsi="Arial"/>
          <w:b w:val="0"/>
          <w:color w:val="000000"/>
          <w:sz w:val="22"/>
        </w:rPr>
        <w:t>CKI is a Ka/Ks-inspired index quantifying functional divergence in single-cell genomics</w:t>
      </w:r>
    </w:p>
    <w:p>
      <w:r>
        <w:rPr>
          <w:rFonts w:ascii="Arial" w:hAnsi="Arial"/>
          <w:b w:val="0"/>
          <w:color w:val="000000"/>
          <w:sz w:val="22"/>
        </w:rPr>
        <w:t>Xianming Wu (1), Li Zhang (1,2,*)</w:t>
      </w:r>
    </w:p>
    <w:p>
      <w:r>
        <w:rPr>
          <w:rFonts w:ascii="Arial" w:hAnsi="Arial"/>
          <w:b w:val="0"/>
          <w:color w:val="000000"/>
          <w:sz w:val="22"/>
        </w:rPr>
        <w:t>(1) Chinese Institute for Brain Research, Beijing 102206, China</w:t>
      </w:r>
    </w:p>
    <w:p>
      <w:r>
        <w:rPr>
          <w:rFonts w:ascii="Arial" w:hAnsi="Arial"/>
          <w:b w:val="0"/>
          <w:color w:val="000000"/>
          <w:sz w:val="22"/>
        </w:rPr>
        <w:t>(2) Institute of Blood Transfusion, Chinese Academy of Medical Sciences &amp; Peking Union Medical College, Chengdu 610052, China</w:t>
      </w:r>
    </w:p>
    <w:p>
      <w:r>
        <w:rPr>
          <w:rFonts w:ascii="Arial" w:hAnsi="Arial"/>
          <w:b w:val="0"/>
          <w:color w:val="000000"/>
          <w:sz w:val="22"/>
        </w:rPr>
        <w:t>(*) Corresponding author</w:t>
      </w:r>
    </w:p>
    <w:p>
      <w:r>
        <w:rPr>
          <w:rFonts w:ascii="Arial" w:hAnsi="Arial"/>
          <w:b w:val="0"/>
          <w:color w:val="000000"/>
          <w:sz w:val="22"/>
        </w:rPr>
      </w:r>
    </w:p>
    <w:p>
      <w:pPr>
        <w:pStyle w:val="Heading2"/>
      </w:pPr>
      <w:r>
        <w:t>Table of Contents</w:t>
      </w:r>
    </w:p>
    <w:p>
      <w:r>
        <w:rPr>
          <w:rFonts w:ascii="Arial" w:hAnsi="Arial"/>
          <w:b w:val="0"/>
          <w:color w:val="000000"/>
          <w:sz w:val="22"/>
        </w:rPr>
        <w:t>CKI Mathematical Derivation</w:t>
      </w:r>
    </w:p>
    <w:p>
      <w:r>
        <w:rPr>
          <w:rFonts w:ascii="Arial" w:hAnsi="Arial"/>
          <w:b w:val="0"/>
          <w:color w:val="000000"/>
          <w:sz w:val="22"/>
        </w:rPr>
        <w:t>CKI Algorithm Pseudocode</w:t>
      </w:r>
    </w:p>
    <w:p>
      <w:r>
        <w:rPr>
          <w:rFonts w:ascii="Arial" w:hAnsi="Arial"/>
          <w:b w:val="0"/>
          <w:color w:val="000000"/>
          <w:sz w:val="22"/>
        </w:rPr>
        <w:t>Statistical Testing Details</w:t>
      </w:r>
    </w:p>
    <w:p>
      <w:r>
        <w:rPr>
          <w:rFonts w:ascii="Arial" w:hAnsi="Arial"/>
          <w:b w:val="0"/>
          <w:color w:val="000000"/>
          <w:sz w:val="22"/>
        </w:rPr>
        <w:t>Dataset Quality Control and Filtering Criteria</w:t>
      </w:r>
    </w:p>
    <w:p>
      <w:r>
        <w:rPr>
          <w:rFonts w:ascii="Arial" w:hAnsi="Arial"/>
          <w:b w:val="0"/>
          <w:color w:val="000000"/>
          <w:sz w:val="22"/>
        </w:rPr>
        <w:t>Supplementary Note 1: Ground-Truth Simulation</w:t>
      </w:r>
    </w:p>
    <w:p>
      <w:r>
        <w:rPr>
          <w:rFonts w:ascii="Arial" w:hAnsi="Arial"/>
          <w:b w:val="0"/>
          <w:color w:val="000000"/>
          <w:sz w:val="22"/>
        </w:rPr>
        <w:t>Supplementary Note 2: Small-Cluster Bootstrap Corrections for Region-Clustered CIs</w:t>
      </w:r>
    </w:p>
    <w:p>
      <w:r>
        <w:rPr>
          <w:rFonts w:ascii="Arial" w:hAnsi="Arial"/>
          <w:b w:val="0"/>
          <w:color w:val="000000"/>
          <w:sz w:val="22"/>
        </w:rPr>
        <w:t>Supplementary Note 3: Calibrated Omega Normalization</w:t>
      </w:r>
    </w:p>
    <w:p>
      <w:r>
        <w:rPr>
          <w:rFonts w:ascii="Arial" w:hAnsi="Arial"/>
          <w:b w:val="0"/>
          <w:color w:val="000000"/>
          <w:sz w:val="22"/>
        </w:rPr>
        <w:t>Supplementary Note 4: Ratio-Estimator Bias–Variance Characterization</w:t>
      </w:r>
    </w:p>
    <w:p>
      <w:r>
        <w:rPr>
          <w:rFonts w:ascii="Arial" w:hAnsi="Arial"/>
          <w:b w:val="0"/>
          <w:color w:val="000000"/>
          <w:sz w:val="22"/>
        </w:rPr>
        <w:t>Supplementary Note 5: Non-HK-Anchored Neutral Drift Controls</w:t>
      </w:r>
    </w:p>
    <w:p>
      <w:r>
        <w:rPr>
          <w:rFonts w:ascii="Arial" w:hAnsi="Arial"/>
          <w:b w:val="0"/>
          <w:color w:val="000000"/>
          <w:sz w:val="22"/>
        </w:rPr>
        <w:t>Supplementary Note 6: Real Perturbation Demonstration (Kang et al. IFN-beta PBMC)</w:t>
      </w:r>
    </w:p>
    <w:p>
      <w:r>
        <w:rPr>
          <w:rFonts w:ascii="Arial" w:hAnsi="Arial"/>
          <w:b w:val="0"/>
          <w:color w:val="000000"/>
          <w:sz w:val="22"/>
        </w:rPr>
        <w:t>Supplementary Note 7: Fixed Gene-Panel Ablation</w:t>
      </w:r>
    </w:p>
    <w:p>
      <w:r>
        <w:rPr>
          <w:rFonts w:ascii="Arial" w:hAnsi="Arial"/>
          <w:b w:val="0"/>
          <w:color w:val="000000"/>
          <w:sz w:val="22"/>
        </w:rPr>
        <w:t>Supplementary Note 8: TCGA composition-contribution check for the NN/TT k_n reversal</w:t>
      </w:r>
    </w:p>
    <w:p>
      <w:r>
        <w:rPr>
          <w:rFonts w:ascii="Arial" w:hAnsi="Arial"/>
          <w:b w:val="0"/>
          <w:color w:val="000000"/>
          <w:sz w:val="22"/>
        </w:rPr>
        <w:t>Supplementary Note 9: k_f-only Ordering Controls (Cross-Organ Ranking and TCGA Severity)</w:t>
      </w:r>
    </w:p>
    <w:p>
      <w:r>
        <w:rPr>
          <w:rFonts w:ascii="Arial" w:hAnsi="Arial"/>
          <w:b w:val="0"/>
          <w:color w:val="000000"/>
          <w:sz w:val="22"/>
        </w:rPr>
        <w:t>Supplementary Note 10: Brain Class-Size Confounding Controls and min-cells Threshold Sensitivity</w:t>
      </w:r>
    </w:p>
    <w:p>
      <w:r>
        <w:rPr>
          <w:rFonts w:ascii="Arial" w:hAnsi="Arial"/>
          <w:b w:val="0"/>
          <w:color w:val="000000"/>
          <w:sz w:val="22"/>
        </w:rPr>
        <w:t>Supplementary Note 11: Region Glossary (Siletti et al. Dissection Nomenclature)</w:t>
      </w:r>
    </w:p>
    <w:p>
      <w:r>
        <w:rPr>
          <w:rFonts w:ascii="Arial" w:hAnsi="Arial"/>
          <w:b w:val="0"/>
          <w:color w:val="000000"/>
          <w:sz w:val="22"/>
        </w:rPr>
        <w:t>Supplementary Note 12: Pseudo-Region Negative Control (Block-Shuffle Null Calibration)</w:t>
      </w:r>
    </w:p>
    <w:p>
      <w:r>
        <w:rPr>
          <w:rFonts w:ascii="Arial" w:hAnsi="Arial"/>
          <w:b w:val="0"/>
          <w:color w:val="000000"/>
          <w:sz w:val="22"/>
        </w:rPr>
        <w:t>Supplementary Note 13: Brain set-level enrichment of the block-shuffle signal (post-hoc)</w:t>
      </w:r>
    </w:p>
    <w:p>
      <w:r>
        <w:rPr>
          <w:rFonts w:ascii="Arial" w:hAnsi="Arial"/>
          <w:b w:val="0"/>
          <w:color w:val="000000"/>
          <w:sz w:val="22"/>
        </w:rPr>
        <w:t>Supplementary Note 14: Comparison with Augur Cell-Type Prioritization</w:t>
      </w:r>
    </w:p>
    <w:p>
      <w:r>
        <w:rPr>
          <w:rFonts w:ascii="Arial" w:hAnsi="Arial"/>
          <w:b w:val="0"/>
          <w:color w:val="000000"/>
          <w:sz w:val="22"/>
        </w:rPr>
        <w:t>Supplementary Note 15: JS Divergence Dimensionality Invariance</w:t>
      </w:r>
    </w:p>
    <w:p>
      <w:r>
        <w:rPr>
          <w:rFonts w:ascii="Arial" w:hAnsi="Arial"/>
          <w:b w:val="0"/>
          <w:color w:val="000000"/>
          <w:sz w:val="22"/>
        </w:rPr>
        <w:t>Supplementary Table 1: Parameter Sweep Results</w:t>
      </w:r>
    </w:p>
    <w:p>
      <w:r>
        <w:rPr>
          <w:rFonts w:ascii="Arial" w:hAnsi="Arial"/>
          <w:b w:val="0"/>
          <w:color w:val="000000"/>
          <w:sz w:val="22"/>
        </w:rPr>
        <w:t>Supplementary Table 2: Cross-Organ Conservation Data</w:t>
      </w:r>
    </w:p>
    <w:p>
      <w:r>
        <w:rPr>
          <w:rFonts w:ascii="Arial" w:hAnsi="Arial"/>
          <w:b w:val="0"/>
          <w:color w:val="000000"/>
          <w:sz w:val="22"/>
        </w:rPr>
        <w:t>Supplementary Table 3: Human Brain Non-neuronal Cell Regional CKI Data</w:t>
      </w:r>
    </w:p>
    <w:p>
      <w:r>
        <w:rPr>
          <w:rFonts w:ascii="Arial" w:hAnsi="Arial"/>
          <w:b w:val="0"/>
          <w:color w:val="000000"/>
          <w:sz w:val="22"/>
        </w:rPr>
        <w:t>Supplementary Table 4: Inter-regional Region-Associated Candidate Data</w:t>
      </w:r>
    </w:p>
    <w:p>
      <w:r>
        <w:rPr>
          <w:rFonts w:ascii="Arial" w:hAnsi="Arial"/>
          <w:b w:val="0"/>
          <w:color w:val="000000"/>
          <w:sz w:val="22"/>
        </w:rPr>
        <w:t>Supplementary Data 1: Analysis Script Index</w:t>
      </w:r>
    </w:p>
    <w:p>
      <w:r>
        <w:br w:type="page"/>
      </w:r>
    </w:p>
    <w:p>
      <w:pPr>
        <w:pStyle w:val="Heading2"/>
      </w:pPr>
      <w:r>
        <w:t>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ω: when both k_n and k_f approach 1, ω = k_f/k_n may still vary. A small floor value (1e-4) on k_n is applied only in the TCGA bulk RNA-seq analysis (where pseudobulk averaging across millions of cells compresses HK gene variance and drives aggregate k_n toward zero) to prevent inflated ω from near-zero denominators; all single-cell analyses (mouse, Tabula Sapiens, brain atlas) apply no floor (kn_floor = 0, positivity guard only; minimum observed per-pair k_n: 1.1e-4, mouse; 6.3e-4, human; 9.2e-5, brain; under the reported brain pipeline, only 1 of 31,764 pairs had k_n below 1e-4, and these values entered ω uncapped). Before computing JS divergence, both pseudobulk vectors are mapped to probability distributions by a softmax over the log-transformed values (cki.utils.ensure_probability_distribution, mode = "softmax"). For single-cell data (natural-log log1p of library-size-normalized counts) this mapping is exactly linear in the normalized counts: softmax(log1p(x)) yields p_i = (x_i + 1)/Σ(x_j + 1), equivalent to a +1 pseudo-count followed by L1 normalization. For TCGA bulk RNA-seq (log2(TPM + 1) values) the same softmax is mathematically equivalent to a power transformation, p_i ∝ (TPM + 1)^(1/ln 2) = (TPM + 1)^1.4427, which earlier versions of this document did not disclose. A full re-analysis of the TCGA pipeline under a strictly linear mapping, p_i = (TPM + 1)/Σ(TPM + 1), leaves every qualitative conclusion unchanged (robustness table in Section 1.7).</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+1 pseudo-count addition followed by L1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[13].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ω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0.786, n = 703 mouse cell-type pairs); this was therefore adopted as the default scheme.</w:t>
      </w:r>
    </w:p>
    <w:p>
      <w:r>
        <w:rPr>
          <w:rFonts w:ascii="Arial" w:hAnsi="Arial"/>
          <w:b/>
          <w:color w:val="000000"/>
          <w:sz w:val="22"/>
        </w:rPr>
        <w:t>1.4 Omega Ratio and Its Interpretation</w:t>
      </w:r>
    </w:p>
    <w:p>
      <w:r>
        <w:rPr>
          <w:rFonts w:ascii="Arial" w:hAnsi="Arial"/>
          <w:b w:val="0"/>
          <w:color w:val="000000"/>
          <w:sz w:val="22"/>
        </w:rPr>
        <w:t>ω = k_f/k_n. Interpretation is anchored in the empirical ω distribution within each dataset rather than in fixed ratio cut-offs: values close to the equivalent-population calibration baseline are consistent with baseline expectation, with no evidence of functional reprogramming; values far above the baseline indicate functional divergence exceeding baseline drift, i.e. evidence of functional transcriptional reprogramming beyond baseline; values far below the baseline indicate functional constraint, the two groups being more similar in functional genes than expected from baseline drift (rare in practice). The Ka/Ks analogy is structurally similar but mathematically non-equivalent.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permutation inference.</w:t>
      </w:r>
    </w:p>
    <w:p>
      <w:r>
        <w:rPr>
          <w:rFonts w:ascii="Arial" w:hAnsi="Arial"/>
          <w:b/>
          <w:color w:val="000000"/>
          <w:sz w:val="22"/>
        </w:rPr>
        <w:t>1.5 Permutation Test</w:t>
      </w:r>
    </w:p>
    <w:p>
      <w:r>
        <w:rPr>
          <w:rFonts w:ascii="Arial" w:hAnsi="Arial"/>
          <w:b w:val="0"/>
          <w:color w:val="000000"/>
          <w:sz w:val="22"/>
        </w:rPr>
        <w:t>Statistical inference is performed by generating a null distribution of ω under the null hypothesis that the group labels are exchangeable between the two cell populations. Procedure: (1) Annotate all cells in the pooled dataset with their original group labels (A or B); (2) Randomly permute group labels B times (B=1,000): cell labels for mouse and human, sample (tumor/normal) labels for TCGA; for the brain atlas the authoritative null is the library-to-region block-shuffle permutation rather than label permutation; pseudobulk vectors and omega_null are recomputed each time, with the top-N identity genes re-selected on the permuted pseudobulks in the mouse, human, and brain pipelines, while the TCGA per-cancer permutation test holds a fixed HVG panel across permutations (anti-conservative relative to re-selection); (3) Empirical P-value (one-sided): P = (count(ω_null ≥ ω_obs) + 1)/(B + 1), with the +1 term avoiding P = 0; (4) Effect size: SES = (omega_obs - mean(omega_null))/sd(omega_null). Benjamini-Hochberg FDR correction is applied within each dataset to control the false discovery rate. Because the test is one-sided, rejection at a given alpha is decided directly by the empirical P-value (P &lt; alpha); no separate two-sided critical values are derived from the null distribution, and the null quantiles are not confidence intervals for ω itself. Permutation testing was performed for all four datasets: label permutation for the mouse pilot (15 cell-type pairs), human Tabula Sapiens, and TCGA (B=1,000 each), and the block-shuffle null for the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10 cells per group. For TCGA bulk RNA-seq data, TPM normalization is used instead: TPM values from UCSC Xena, followed by log2(TPM + 1) transformation. No pseudobulk step is needed as each sample is already a bulk expression profile.</w:t>
      </w:r>
    </w:p>
    <w:p>
      <w:r>
        <w:rPr>
          <w:rFonts w:ascii="Arial" w:hAnsi="Arial"/>
          <w:b/>
          <w:color w:val="000000"/>
          <w:sz w:val="22"/>
        </w:rPr>
        <w:t>1.7 Probability-Mapping Robustness: Linear-Normalization Re-analysis of the TCGA Pipeline</w:t>
      </w:r>
    </w:p>
    <w:p>
      <w:r>
        <w:rPr>
          <w:rFonts w:ascii="Arial" w:hAnsi="Arial"/>
          <w:b w:val="0"/>
          <w:color w:val="000000"/>
          <w:sz w:val="22"/>
        </w:rPr>
        <w:t>Disclosure. All TCGA statistics reported in the manuscript are computed under the strictly linear probability mapping p_i = (TPM + 1)/Σ(TPM + 1), which is the authoritative caliber throughout (notebooks/85_tcga_linear_norm_v44.py; per-cancer streaming gene loading, mean TPM ≥ 0.5 filtering, per-cancer HK mapping, per-pair top-200 |Δ| identity genes ranked on the log2(TPM + 1) representation so that the identity gene sets are unchanged, kn_floor = 1 × 10⁻⁴, seed 42, TT/TN caps of 2,000 pairs). The legacy pipeline (notebooks/06_phase34_v2.py) applied the softmax probability mapping to log2(TPM + 1) values, which is mathematically equivalent to the power transformation p_i ∝ (TPM + 1)^(1/ln 2) (Section 1.1); the softmax-caliber values are archived here as a sensitivity analysis to verify that the mapping choice drives no conclusion. Scripts: notebooks/85_tcga_linear_norm_v44.py (main pipeline and clinical severity) and notebooks/86_tcga_composition_linear_norm_v44.py (composition sensitivity); report: results/tcga_linear_norm_v44_report.md.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Cancer type</w:t>
            </w:r>
          </w:p>
        </w:tc>
        <w:tc>
          <w:tcPr>
            <w:tcW w:type="dxa" w:w="1881"/>
          </w:tcPr>
          <w:p>
            <w:r>
              <w:rPr>
                <w:rFonts w:ascii="Arial" w:hAnsi="Arial"/>
                <w:b/>
                <w:sz w:val="18"/>
              </w:rPr>
              <w:t>TN/baseline ω (softmax)</w:t>
            </w:r>
          </w:p>
        </w:tc>
        <w:tc>
          <w:tcPr>
            <w:tcW w:type="dxa" w:w="1881"/>
          </w:tcPr>
          <w:p>
            <w:r>
              <w:rPr>
                <w:rFonts w:ascii="Arial" w:hAnsi="Arial"/>
                <w:b/>
                <w:sz w:val="18"/>
              </w:rPr>
              <w:t>TN/baseline ω (linear)</w:t>
            </w:r>
          </w:p>
        </w:tc>
        <w:tc>
          <w:tcPr>
            <w:tcW w:type="dxa" w:w="1881"/>
          </w:tcPr>
          <w:p>
            <w:r>
              <w:rPr>
                <w:rFonts w:ascii="Arial" w:hAnsi="Arial"/>
                <w:b/>
                <w:sz w:val="18"/>
              </w:rPr>
              <w:t>NN &gt; TT ω reversal</w:t>
            </w:r>
          </w:p>
        </w:tc>
        <w:tc>
          <w:tcPr>
            <w:tcW w:type="dxa" w:w="1881"/>
          </w:tcPr>
          <w:p>
            <w:r>
              <w:rPr>
                <w:rFonts w:ascii="Arial" w:hAnsi="Arial"/>
                <w:b/>
                <w:sz w:val="18"/>
              </w:rPr>
              <w:t>TT/NN k_n fold (linear)</w:t>
            </w:r>
          </w:p>
        </w:tc>
      </w:tr>
      <w:tr>
        <w:tc>
          <w:tcPr>
            <w:tcW w:type="dxa" w:w="1881"/>
          </w:tcPr>
          <w:p>
            <w:r>
              <w:rPr>
                <w:rFonts w:ascii="Arial" w:hAnsi="Arial"/>
                <w:sz w:val="18"/>
              </w:rPr>
              <w:t>LUAD</w:t>
            </w:r>
          </w:p>
        </w:tc>
        <w:tc>
          <w:tcPr>
            <w:tcW w:type="dxa" w:w="1881"/>
          </w:tcPr>
          <w:p>
            <w:r>
              <w:rPr>
                <w:rFonts w:ascii="Arial" w:hAnsi="Arial"/>
                <w:sz w:val="18"/>
              </w:rPr>
              <w:t>0.65</w:t>
            </w:r>
          </w:p>
        </w:tc>
        <w:tc>
          <w:tcPr>
            <w:tcW w:type="dxa" w:w="1881"/>
          </w:tcPr>
          <w:p>
            <w:r>
              <w:rPr>
                <w:rFonts w:ascii="Arial" w:hAnsi="Arial"/>
                <w:sz w:val="18"/>
              </w:rPr>
              <w:t>0.70</w:t>
            </w:r>
          </w:p>
        </w:tc>
        <w:tc>
          <w:tcPr>
            <w:tcW w:type="dxa" w:w="1881"/>
          </w:tcPr>
          <w:p>
            <w:r>
              <w:rPr>
                <w:rFonts w:ascii="Arial" w:hAnsi="Arial"/>
                <w:sz w:val="18"/>
              </w:rPr>
              <w:t>retained</w:t>
            </w:r>
          </w:p>
        </w:tc>
        <w:tc>
          <w:tcPr>
            <w:tcW w:type="dxa" w:w="1881"/>
          </w:tcPr>
          <w:p>
            <w:r>
              <w:rPr>
                <w:rFonts w:ascii="Arial" w:hAnsi="Arial"/>
                <w:sz w:val="18"/>
              </w:rPr>
              <w:t>2.6×</w:t>
            </w:r>
          </w:p>
        </w:tc>
      </w:tr>
      <w:tr>
        <w:tc>
          <w:tcPr>
            <w:tcW w:type="dxa" w:w="1881"/>
          </w:tcPr>
          <w:p>
            <w:r>
              <w:rPr>
                <w:rFonts w:ascii="Arial" w:hAnsi="Arial"/>
                <w:sz w:val="18"/>
              </w:rPr>
              <w:t>LUSC</w:t>
            </w:r>
          </w:p>
        </w:tc>
        <w:tc>
          <w:tcPr>
            <w:tcW w:type="dxa" w:w="1881"/>
          </w:tcPr>
          <w:p>
            <w:r>
              <w:rPr>
                <w:rFonts w:ascii="Arial" w:hAnsi="Arial"/>
                <w:sz w:val="18"/>
              </w:rPr>
              <w:t>0.67</w:t>
            </w:r>
          </w:p>
        </w:tc>
        <w:tc>
          <w:tcPr>
            <w:tcW w:type="dxa" w:w="1881"/>
          </w:tcPr>
          <w:p>
            <w:r>
              <w:rPr>
                <w:rFonts w:ascii="Arial" w:hAnsi="Arial"/>
                <w:sz w:val="18"/>
              </w:rPr>
              <w:t>0.74</w:t>
            </w:r>
          </w:p>
        </w:tc>
        <w:tc>
          <w:tcPr>
            <w:tcW w:type="dxa" w:w="1881"/>
          </w:tcPr>
          <w:p>
            <w:r>
              <w:rPr>
                <w:rFonts w:ascii="Arial" w:hAnsi="Arial"/>
                <w:sz w:val="18"/>
              </w:rPr>
              <w:t>retained</w:t>
            </w:r>
          </w:p>
        </w:tc>
        <w:tc>
          <w:tcPr>
            <w:tcW w:type="dxa" w:w="1881"/>
          </w:tcPr>
          <w:p>
            <w:r>
              <w:rPr>
                <w:rFonts w:ascii="Arial" w:hAnsi="Arial"/>
                <w:sz w:val="18"/>
              </w:rPr>
              <w:t>2.7×</w:t>
            </w:r>
          </w:p>
        </w:tc>
      </w:tr>
      <w:tr>
        <w:tc>
          <w:tcPr>
            <w:tcW w:type="dxa" w:w="1881"/>
          </w:tcPr>
          <w:p>
            <w:r>
              <w:rPr>
                <w:rFonts w:ascii="Arial" w:hAnsi="Arial"/>
                <w:sz w:val="18"/>
              </w:rPr>
              <w:t>LIHC</w:t>
            </w:r>
          </w:p>
        </w:tc>
        <w:tc>
          <w:tcPr>
            <w:tcW w:type="dxa" w:w="1881"/>
          </w:tcPr>
          <w:p>
            <w:r>
              <w:rPr>
                <w:rFonts w:ascii="Arial" w:hAnsi="Arial"/>
                <w:sz w:val="18"/>
              </w:rPr>
              <w:t>0.78</w:t>
            </w:r>
          </w:p>
        </w:tc>
        <w:tc>
          <w:tcPr>
            <w:tcW w:type="dxa" w:w="1881"/>
          </w:tcPr>
          <w:p>
            <w:r>
              <w:rPr>
                <w:rFonts w:ascii="Arial" w:hAnsi="Arial"/>
                <w:sz w:val="18"/>
              </w:rPr>
              <w:t>0.83</w:t>
            </w:r>
          </w:p>
        </w:tc>
        <w:tc>
          <w:tcPr>
            <w:tcW w:type="dxa" w:w="1881"/>
          </w:tcPr>
          <w:p>
            <w:r>
              <w:rPr>
                <w:rFonts w:ascii="Arial" w:hAnsi="Arial"/>
                <w:sz w:val="18"/>
              </w:rPr>
              <w:t>retained</w:t>
            </w:r>
          </w:p>
        </w:tc>
        <w:tc>
          <w:tcPr>
            <w:tcW w:type="dxa" w:w="1881"/>
          </w:tcPr>
          <w:p>
            <w:r>
              <w:rPr>
                <w:rFonts w:ascii="Arial" w:hAnsi="Arial"/>
                <w:sz w:val="18"/>
              </w:rPr>
              <w:t>2.1×</w:t>
            </w:r>
          </w:p>
        </w:tc>
      </w:tr>
      <w:tr>
        <w:tc>
          <w:tcPr>
            <w:tcW w:type="dxa" w:w="1881"/>
          </w:tcPr>
          <w:p>
            <w:r>
              <w:rPr>
                <w:rFonts w:ascii="Arial" w:hAnsi="Arial"/>
                <w:sz w:val="18"/>
              </w:rPr>
              <w:t>KIRC</w:t>
            </w:r>
          </w:p>
        </w:tc>
        <w:tc>
          <w:tcPr>
            <w:tcW w:type="dxa" w:w="1881"/>
          </w:tcPr>
          <w:p>
            <w:r>
              <w:rPr>
                <w:rFonts w:ascii="Arial" w:hAnsi="Arial"/>
                <w:sz w:val="18"/>
              </w:rPr>
              <w:t>0.74</w:t>
            </w:r>
          </w:p>
        </w:tc>
        <w:tc>
          <w:tcPr>
            <w:tcW w:type="dxa" w:w="1881"/>
          </w:tcPr>
          <w:p>
            <w:r>
              <w:rPr>
                <w:rFonts w:ascii="Arial" w:hAnsi="Arial"/>
                <w:sz w:val="18"/>
              </w:rPr>
              <w:t>0.81</w:t>
            </w:r>
          </w:p>
        </w:tc>
        <w:tc>
          <w:tcPr>
            <w:tcW w:type="dxa" w:w="1881"/>
          </w:tcPr>
          <w:p>
            <w:r>
              <w:rPr>
                <w:rFonts w:ascii="Arial" w:hAnsi="Arial"/>
                <w:sz w:val="18"/>
              </w:rPr>
              <w:t>retained</w:t>
            </w:r>
          </w:p>
        </w:tc>
        <w:tc>
          <w:tcPr>
            <w:tcW w:type="dxa" w:w="1881"/>
          </w:tcPr>
          <w:p>
            <w:r>
              <w:rPr>
                <w:rFonts w:ascii="Arial" w:hAnsi="Arial"/>
                <w:sz w:val="18"/>
              </w:rPr>
              <w:t>3.6×</w:t>
            </w:r>
          </w:p>
        </w:tc>
      </w:tr>
      <w:tr>
        <w:tc>
          <w:tcPr>
            <w:tcW w:type="dxa" w:w="1881"/>
          </w:tcPr>
          <w:p>
            <w:r>
              <w:rPr>
                <w:rFonts w:ascii="Arial" w:hAnsi="Arial"/>
                <w:sz w:val="18"/>
              </w:rPr>
              <w:t>BRCA</w:t>
            </w:r>
          </w:p>
        </w:tc>
        <w:tc>
          <w:tcPr>
            <w:tcW w:type="dxa" w:w="1881"/>
          </w:tcPr>
          <w:p>
            <w:r>
              <w:rPr>
                <w:rFonts w:ascii="Arial" w:hAnsi="Arial"/>
                <w:sz w:val="18"/>
              </w:rPr>
              <w:t>0.78</w:t>
            </w:r>
          </w:p>
        </w:tc>
        <w:tc>
          <w:tcPr>
            <w:tcW w:type="dxa" w:w="1881"/>
          </w:tcPr>
          <w:p>
            <w:r>
              <w:rPr>
                <w:rFonts w:ascii="Arial" w:hAnsi="Arial"/>
                <w:sz w:val="18"/>
              </w:rPr>
              <w:t>0.84</w:t>
            </w:r>
          </w:p>
        </w:tc>
        <w:tc>
          <w:tcPr>
            <w:tcW w:type="dxa" w:w="1881"/>
          </w:tcPr>
          <w:p>
            <w:r>
              <w:rPr>
                <w:rFonts w:ascii="Arial" w:hAnsi="Arial"/>
                <w:sz w:val="18"/>
              </w:rPr>
              <w:t>retained</w:t>
            </w:r>
          </w:p>
        </w:tc>
        <w:tc>
          <w:tcPr>
            <w:tcW w:type="dxa" w:w="1881"/>
          </w:tcPr>
          <w:p>
            <w:r>
              <w:rPr>
                <w:rFonts w:ascii="Arial" w:hAnsi="Arial"/>
                <w:sz w:val="18"/>
              </w:rPr>
              <w:t>2.8×</w:t>
            </w:r>
          </w:p>
        </w:tc>
      </w:tr>
    </w:tbl>
    <w:p>
      <w:r>
        <w:rPr>
          <w:rFonts w:ascii="Arial" w:hAnsi="Arial"/>
          <w:b w:val="0"/>
          <w:color w:val="000000"/>
          <w:sz w:val="22"/>
        </w:rPr>
        <w:t>Table (Section 1.7). Linear-normalization robustness of the TCGA main pipeline. Every qualitative conclusion is preserved: the tumor-normal versus baseline contrast stays significant in all five cancer types (all TN/baseline ω &lt; 1; permutation P = 1 × 10⁻⁴⁹ to 1 × 10⁻¹⁴), with ratios attenuating slightly toward 1; the NN &gt; TT ω reversal is retained in 5 of 5 cancer types with the k_n reversal (TT k_n 2.1–3.6× the NN median) intact; k_n &lt; 1 × 10⁻⁴ floor saturation is &lt; 0.1% under the linear mapping (a single pair of 35,306 at k_n = 8.4 × 10⁻⁵; all other pair-level k_n ≈ 7 × 10⁻⁴ to 6 × 10⁻³), so the floor is not an artifact of the mapping; all three clinical-severity orderings are preserved (full values in Supplementary Note 9); and the composition-sensitivity conclusion is unchanged (pooled tumor-pair coefficient attenuation −0.8%, cluster-bootstrap median −1.2% [95% CI −4.1%, +2.6%]; Supplementary Note 8). One quantitative caveat: the LIHC NN/TT effect size is mapping-sensitive - the mean NN/TT ω ratio is 1.10 under the linear mapping versus 1.31 under the softmax mapping - so the LIHC reversal, though directionally preserved, is quantitatively weaker in the authoritative linear caliber.</w:t>
      </w:r>
    </w:p>
    <w:p>
      <w:r>
        <w:br w:type="page"/>
      </w:r>
    </w:p>
    <w:p>
      <w:pPr>
        <w:pStyle w:val="Heading2"/>
      </w:pPr>
      <w:r>
        <w:t>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ω,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JS_divergence(norm(mu_A_H), norm(mu_B_H))  // norm: softmax over log1p counts, i.e., p_i = exp(log1p(c_i)) / sum_j exp(log1p(c_j)) = (c_i+1) / sum_j (c_j+1)</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JS_divergence(norm(mu_A_I), norm(mu_B_I))</w:t>
      </w:r>
    </w:p>
    <w:p>
      <w:pPr>
        <w:spacing w:after="20" w:before="0"/>
      </w:pPr>
      <w:r>
        <w:rPr>
          <w:rFonts w:ascii="Arial" w:hAnsi="Arial"/>
          <w:b w:val="0"/>
          <w:color w:val="000000"/>
          <w:sz w:val="22"/>
        </w:rPr>
        <w:t xml:space="preserve"> 7. if (bulk RNA-seq analysis) and k_n &lt; 1e-4: k_n &lt;- 1e-4  // TCGA-only floor; single-cell analyses apply no floor</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  // for bulk RNA-seq, one label per sample</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 mu_perm2 &lt;- mean(pooled[labels_perm[n_A:]], axis=0)</w:t>
      </w:r>
    </w:p>
    <w:p>
      <w:pPr>
        <w:spacing w:after="20" w:before="0"/>
      </w:pPr>
      <w:r>
        <w:rPr>
          <w:rFonts w:ascii="Arial" w:hAnsi="Arial"/>
          <w:b w:val="0"/>
          <w:color w:val="000000"/>
          <w:sz w:val="22"/>
        </w:rPr>
        <w:t>14.     I_b &lt;- top-N identity genes selected on (mu_perm1, mu_perm2)  // re-selected at every permutation</w:t>
      </w:r>
    </w:p>
    <w:p>
      <w:pPr>
        <w:spacing w:after="20" w:before="0"/>
      </w:pPr>
      <w:r>
        <w:rPr>
          <w:rFonts w:ascii="Arial" w:hAnsi="Arial"/>
          <w:b w:val="0"/>
          <w:color w:val="000000"/>
          <w:sz w:val="22"/>
        </w:rPr>
        <w:t>15.     omega_null[b] &lt;- CKI_core(mu_perm1, mu_perm2, H, I_b)</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t>Note: in the released cki package (v0.5.0), bootstrap_test() reproduces lines 9-15 by default (reselect_identity = True): the HK set H is resolved once before the permutation loop and held fixed, while the k_f gene set is re-selected at every permutation (and for the observed value) as the top 200 non-HK genes by absolute pseudobulk difference, so the null incorporates the gene-selection step; this is the label-permutation procedure reported for the mouse pilot and Tabula Sapiens analyses. Passing explicit identity gene sets, or reselect_identity = False, pins a fixed panel across permutations (legacy mode; anti-conservative relative to re-selection whenever the observed ω uses per-pair selection). The TCGA per-cancer permutation test deliberately held a fixed identity panel across permutations (anti-conservative relative to re-selection; see 1.5 Permutation Test), and the brain analysis uses a library-level block-shuffle null (cki.blocknull.block_shuffle_test) instead of label permutation.</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JS(norm(mu_A[I]), norm(mu_B[I]))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Permutation test (B=1,000) for CKI ω significance inference; ROC-AUC for cell type classification performance assessment.</w:t>
      </w:r>
    </w:p>
    <w:p>
      <w:r>
        <w:rPr>
          <w:rFonts w:ascii="Arial" w:hAnsi="Arial"/>
          <w:b/>
          <w:color w:val="000000"/>
          <w:sz w:val="22"/>
        </w:rPr>
        <w:t>3.2 Permutation Test and Bootstrap CI Details</w:t>
      </w:r>
    </w:p>
    <w:p>
      <w:r>
        <w:rPr>
          <w:rFonts w:ascii="Arial" w:hAnsi="Arial"/>
          <w:b w:val="0"/>
          <w:color w:val="000000"/>
          <w:sz w:val="22"/>
        </w:rPr>
        <w:t>Permutation iterations: B=1,000 for all datasets (mouse pilot study with 15 cell-type pairs, human Tabula Sapiens via script 08b, TCGA via script 08a, and brain atlas via scripts 08d-08e, which implement the block-shuffle null).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mean was computed; the 2.5th and 97.5th percentiles of the resulting distribution define the 95% CI. A region-clustered block bootstrap (B = 2,000; the 108 regions resampled with replacement, all statistics recomputed per resample) yields wider, cluster-aware intervals for landscape-level quantities: gradient 6.10 [5.55, 9.63], grand mean ω 38.55 [36.35, 40.73], Strong-candidate count 39 [12, 74]. Confidence interval widths scale inversely with the number of contributing pairs: well-sampled cell types (e.g., astrocytes, 5,778 pairs) yield narrow intervals ([81.56, 83.89], mean 82.75), whereas cell types with fewer comparisons (e.g., Bergmann glia, 21 pairs) produce wider intervals ([11.31, 16.14], mean 13.56).</w:t>
      </w:r>
    </w:p>
    <w:p>
      <w:r>
        <w:rPr>
          <w:rFonts w:ascii="Arial" w:hAnsi="Arial"/>
          <w:b/>
          <w:color w:val="000000"/>
          <w:sz w:val="22"/>
        </w:rPr>
        <w:t>3.3 Multiple Testing Correction</w:t>
      </w:r>
    </w:p>
    <w:p>
      <w:r>
        <w:rPr>
          <w:rFonts w:ascii="Arial" w:hAnsi="Arial"/>
          <w:b w:val="0"/>
          <w:color w:val="000000"/>
          <w:sz w:val="22"/>
        </w:rPr>
        <w:t>Permutation testing was performed for all four datasets with B=1,000: mouse pilot (15 cell-type pairs), human Tabula Sapiens, TCGA, and brain atlas. Benjamini-Hochberg FDR correction is applied within each dataset to control the false discovery rate, with the number of tests defined at the level at which each analysis is performed. For the human atlas, 99 of 102 cell-type entries passed the pairwise-analysis filters (at least 20 cells per entry and a donor with at least 10 cells), yielding C(99, 2) = 4,851 pairs; for the brain atlas, 31,764 same-cell-type cross-region pairs were tested. For the larger-scale analyses, permutation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w:t>
      </w:r>
    </w:p>
    <w:p>
      <w:r>
        <w:rPr>
          <w:rFonts w:ascii="Arial" w:hAnsi="Arial"/>
          <w:b w:val="0"/>
          <w:color w:val="000000"/>
          <w:sz w:val="22"/>
        </w:rPr>
        <w:t>For the brain region-association screen, per-pair empirical P-values were computed with a block-shuffle permutation null (B = 1,000), in which 10x Chromium libraries (sample_id) were treated as blocks and the library-to-region assignment was randomly permuted (preserving the observed per-region library-count structure), after which region pseudobulks, all 31,764 pair ω values, and multiplicative residuals were recomputed. The one-sided lower-tail P-value is P = (count(ω_null ≤ ω_obs) + 1)/(B + 1); the complementary upper-tail P-value P = (count(ω_null ≥ ω_obs) + 1)/(B + 1) was also computed for every pair, and both tails are reported here. Of the 39 Strong-tier candidates (residual &lt; 0.3), 31 showed raw P &lt; 0.05, but after Benjamini-Hochberg correction across all m = 31,764 pairs, none reached q &lt; 0.05 (minimum q = 0.520). Globally, 1,960 of 31,764 pairs (6.2%) showed raw lower-tail P &lt; 0.05, above the permutation null mean of 1,588 and beyond its 99th percentile (1,956): calibrated against the design-matched null distribution of the count itself, this excess is significant (P = 0.011; 0.022 after Bonferroni correction across the two tails tested), and it is contributed chiefly by classes whose mean ω sits below the null expectation—microglia (8.06% of class pairs at lower-tail P &lt; 0.05, +173 pairs above the 5% null rate), oligodendrocytes (6.01%, +58), and Bergmann glia (8 of 21 pairs, 38.1%, the family nominally significant under stratified BH)—but also by astrocytes (7.60%, +150 pairs), whose wide, right-skewed ω distributions generate pairs far below the null even though the class mean lies far above it. The complementary upper tail was also tested and shows a clear excess in the opposite direction: 2,510 pairs (7.9%) had upper-tail P &lt; 0.05 (observed ω above the block-shuffle null), concentrated in the most regionally structured classes (astrocytes 16.2%, committed OPCs 9.7%, OPCs 9.6% of class pairs; Bergmann glia 0%). The two-sided excesses are the pair-level signature of the same regional structure detected at the cell-class level—classes with upward-shifted ω distributions contribute the upper-tail excess, while the lower-tail excess, though concentrated in the below-null classes, also draws a nearly equal contribution from the wide astrocyte distribution—and the lower-tail excess in aggregate is not evidence for anomalously low-ω pairs beyond what the class-level shifts predict. The null FDR outcome for the candidate screen is structural rather than purely empirical: with m = 31,764 tests, the BH threshold for the smallest ordered P-value (0.05/31,764 ≈ 1.6 × 10⁻⁶) lies roughly 600-fold below the smallest resolvable permutation P (9.99 × 10⁻⁴ at B = 1,000), so q &lt; 0.05 would require either B ≈ 6 × 10⁵ permutations or at least ~635 of the 31,764 P-values at the permutation floor—neither condition is approached in these data, as the selection-rule analysis quantifies (the null alone would pass the complete Strong rule 148.3 times in expectation, 3.8-fold above the 39 observed candidates; for the rule restricted to raw P &lt; 0.05 the null expectation of 131.2 exceeds the observed 31 4.2-fold). We therefore report the Strong candidates as a prioritized hypothesis-generating list rather than FDR-controlled discoveries. An earlier implementation of this test, which shuffled cell-type labels within each region pair (B = 10,000), produced anti-conservative P-values (36.3% of pairs at the P-value floor) because per-pair shuffling ignores the block structure of 10x libraries; that implementation was superseded by the block-shuffle null reported here. Per-signal tests are not independent (the same cell type or region pair appears in multiple comparisons); interpretation is therefore restricted to the predefined Strong tier. (Supplementary Fig. 12: ω distribution characterization; Supplementary Fig. 9: block-shuffle null distribution for the residual model.)</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non-permutation tests are two-sided; permutation P-values are one-sided (see Section 1.5). Correlation coefficients (Spearman rho) are reported with P-values. Effect sizes (standardized effect size, SES = (ω_obs − μ_null) / σ_null) are reported as descriptive measures of magnitude; because the ω distribution is right-skewed and non-normal for the large datasets (brain: D’Agostino-Pearson P &lt; 2.2 × 10⁻¹⁶; human: Shapiro-Wilk P = 7.6e-42; the mouse pilot at n = 15 pairs does not reject normality, Shapiro-Wilk P = 0.071), SES should be interpreted as a non-parametric descriptive statistic rather than a parametric test result.</w:t>
      </w:r>
    </w:p>
    <w:p>
      <w:r>
        <w:rPr>
          <w:rFonts w:ascii="Arial" w:hAnsi="Arial"/>
          <w:b/>
          <w:color w:val="000000"/>
          <w:sz w:val="22"/>
        </w:rPr>
        <w:t>3.5 Pair-Specific k_n Variability</w:t>
      </w:r>
    </w:p>
    <w:p>
      <w:r>
        <w:rPr>
          <w:rFonts w:ascii="Arial" w:hAnsi="Arial"/>
          <w:b w:val="0"/>
          <w:color w:val="000000"/>
          <w:sz w:val="22"/>
        </w:rPr>
        <w:t>In all reported analyses (mouse pilot, human, TCGA, and brain), k_n is computed per pair on the shared HK gene set: for each comparison, the HK-gene JS divergence between the two pseudobulk vectors is evaluated on that pair alone (a single HK reference is shared across all pairs, keeping k_n on a consistent scale, but the divergence itself is pair-specific). Analysis of per-pair k_n across 31,764 brain comparisons revealed substantial cross-pair variability: overall k_n CV = 97.52% (mean = 0.0035, median = 0.0022), with per-cell-type CVs ranging from 36.9% (committed oligodendrocyte precursors) to 70.1% (oligodendrocytes). As a sensitivity analysis, we contrasted this per-pair k_n estimator with a global-k_n variant (k_n computed once from the full gene-by-cell-type pseudobulk matrix): the Spearman correlation between the resulting ω rankings was only ρ = 0.142 (P = 7.07e-143), so the global-k_n simplification would preserve only ~2% of the variance in ω orderings (ρ² ≈ 0.02). This justifies the per-pair k_n approach used throughout and highlights that fine-grained ω orderings should be interpreted with the estimator choice in mind. (Supplementary Fig. 7.)</w:t>
      </w:r>
    </w:p>
    <w:p>
      <w:r>
        <w:rPr>
          <w:rFonts w:ascii="Arial" w:hAnsi="Arial"/>
          <w:b/>
          <w:color w:val="000000"/>
          <w:sz w:val="22"/>
        </w:rPr>
        <w:t>3.6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ω)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3.7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ω estimates unreliable. We recommend interpreting rankings of cell types with n &lt; 5 as suggestive only. Bootstrap 95% confidence intervals for cell types with n ≥ 5 are provided in Supplementary Table 2. The Spearman correlations between CKI ω and standard metrics are reported with bootstrap 95% CIs (B = 10,000 resamples).</w:t>
      </w:r>
    </w:p>
    <w:p>
      <w:r>
        <w:rPr>
          <w:rFonts w:ascii="Arial" w:hAnsi="Arial"/>
          <w:b/>
          <w:color w:val="000000"/>
          <w:sz w:val="22"/>
        </w:rPr>
        <w:t>3.8 One-Sided Permutation Test Justification</w:t>
      </w:r>
    </w:p>
    <w:p>
      <w:r>
        <w:rPr>
          <w:rFonts w:ascii="Arial" w:hAnsi="Arial"/>
          <w:b w:val="0"/>
          <w:color w:val="000000"/>
          <w:sz w:val="22"/>
        </w:rPr>
        <w:t>All permutation P-values use a one-sided test: P = (count(omega_null ≥ omega_obs) + 1)/(B + 1). The one-sided formulation is appropriate because our hypothesis is directional: we test whether observed ω exceeds the null expectation (equivalent populations), not whether it differs in either direction. A two-sided test would be appropriate if we were testing for any departure from the null (either elevated or suppressed ω). However, the biological questions addressed here (functional divergence exceeding baseline, Strong region-associated candidates showing anomalously low ω) are inherently directional. One exception: the brain per-pair candidate screen uses the one-sided lower-tail formula P = (count(omega_null ≤ omega_obs) + 1)/(B + 1), because region-associated candidates are defined by anomalously low ω; the complementary upper-tail P-value is computed for every pair and both tails are reported. In the released cki package (v0.5.0), the tested tail is selected by the tail parameter of bootstrap_test() and block_shuffle_test() (tail = "upper", "lower", or "two-sided"); earlier releases used the parameter name "direction".</w:t>
      </w:r>
    </w:p>
    <w:p>
      <w:r>
        <w:rPr>
          <w:rFonts w:ascii="Arial" w:hAnsi="Arial"/>
          <w:b/>
          <w:color w:val="000000"/>
          <w:sz w:val="22"/>
        </w:rPr>
        <w:t>3.9 Parameter Justification</w:t>
      </w:r>
    </w:p>
    <w:p>
      <w:r>
        <w:rPr>
          <w:rFonts w:ascii="Arial" w:hAnsi="Arial"/>
          <w:b w:val="0"/>
          <w:color w:val="000000"/>
          <w:sz w:val="22"/>
        </w:rPr>
        <w:t>Key CKI parameters and their rationale: (1) +1 pseudo-count followed by L1 normalization: converts expression vectors to probability distributions for JS divergence computation; adding one pseudo-count before L1 normalization preserves relative magnitude information while ensuring non-negativity and sum-to-one. (2) Zero entries are excluded from the JS divergence by explicit masking (p &gt; 0, q &gt; 0); the constant _EPS = 1e-9 is used only as a softmax denominator guard and never enters k_n, k_f, or ω. (3) Identity-gene sets for k_f: two schemes are used — a global panel of the top-2,000 highly variable genes (HVGs; Seurat flavor, HK excluded) for the Tabula Muris full pairwise matrix, and per-pair top-200 DE genes (ranked by absolute mean difference, HK excluded) for the mouse pilot, Tabula Sapiens, TCGA, and brain analyses; the Phase 3.2 sweep varied the identity/pathway weighting at the fixed 2,000-HVG panel and found the identity-only configuration optimal for AUC (Supplementary Table 1). (4) Gene-set sizes by dataset: 2,000 HVGs (Scanpy default) for the mouse matrix; the brain pipeline retains the top-5,000 non-HK genes by global mean expression; a diagnostic HVG-size sweep on Tabula Sapiens (N_HVG in {2,000, 5,000, 10,000, 20,000}; notebooks/05b_phase33_diagnose.py) informed these choices. (5) Log-base 2 for JS divergence: standard choice giving JS range [0, 1]; the base does not affect ω = k_f/k_n since it cancels in the ratio. (6) B = 1,000 for permutation: justified by adaptive permutation analysis showing minimum P = 9.99 × 10⁻⁴ (= 1/(B+1) = 1/1001) is well below BH thresholds for cell-type-level tests (Phase B).</w:t>
      </w:r>
    </w:p>
    <w:p>
      <w:r>
        <w:rPr>
          <w:rFonts w:ascii="Arial" w:hAnsi="Arial"/>
          <w:b/>
          <w:color w:val="000000"/>
          <w:sz w:val="22"/>
        </w:rPr>
        <w:t>3.10 Mouse Split-Half Re-calibration (6 → 50 splits)</w:t>
      </w:r>
    </w:p>
    <w:p>
      <w:r>
        <w:rPr>
          <w:rFonts w:ascii="Arial" w:hAnsi="Arial"/>
          <w:b w:val="0"/>
          <w:color w:val="000000"/>
          <w:sz w:val="22"/>
        </w:rPr>
        <w:t>The equivalent-population calibration of Supplementary Note 3 was re-run with 50 independent random split-halves per control population (the same six FACS control populations as the original calibration: liver hepatocyte, heart endothelial, spleen B cell, marrow B cell, heart fibroblast, marrow neutrophil; 300 split-half ω values; identical QC, normalization, and k_n/k_f definitions; script notebooks/87_mouse_splithalf_v44.py; outputs results/mouse_splithalf_v44.csv and results/mouse_splithalf_v44_summary.json; seed 42). The replicate baseline stabilizes at mean ω = 7.70 (SD of replicate means 1.15, pooled SD 3.63; 95% CI [7.37, 8.02] by t-interval, [7.38, 8.02] by bootstrap with B = 10,000), superseding the legacy single-split estimate 6.67 [4.24, 9.24]. The legacy point estimate lies inside the overlap of the two CIs; the difference is single-split sampling noise dominated by the hepatocyte population (per-population SD ≈ 6.0). Per-population means (50 splits each): hepatocyte 12.44 ± 5.98, marrow B cell 7.36 ± 1.39, heart endothelial 7.23 ± 1.59, heart fibroblast 7.00 ± 1.73, spleen B cell 6.38 ± 0.93, marrow neutrophil 5.77 ± 2.67. The calibration constant used throughout this revision is therefore 7.70 [7.37, 8.02]; qualitative calibrated-ω conclusions are unchanged (e.g., brain grand mean 38.5 → ω_cal ≈ 5.0–5.8 under either baseline).</w:t>
      </w:r>
    </w:p>
    <w:p>
      <w:r>
        <w:rPr>
          <w:rFonts w:ascii="Arial" w:hAnsi="Arial"/>
          <w:b/>
          <w:color w:val="000000"/>
          <w:sz w:val="22"/>
        </w:rPr>
        <w:t>3.11 Competitor Benchmark: MELD and a Python Approximation of scDist</w:t>
      </w:r>
    </w:p>
    <w:p>
      <w:r>
        <w:rPr>
          <w:rFonts w:ascii="Arial" w:hAnsi="Arial"/>
          <w:b w:val="0"/>
          <w:color w:val="000000"/>
          <w:sz w:val="22"/>
        </w:rPr>
        <w:t>Purpose and methods. CKI was benchmarked against MELD (PyPI meld 1.0.2, minimal --no-deps install; per-cell-type score = within-type AUC of the stim-versus-control likelihood) and against a Python approximation of scDist (the R package was unavailable in our environment; per cell type, per-PC OLS of PC score on condition plus donor fixed effects, cell-type distance = √(Σ_j β²_cond,j λ_j) over 20 PCs of log-normalized 3,000 HVGs). The scDist implementation reproduces the fixed-effects condition-coefficient distance of Mitsakos et al. 2023 but is not the R package’s exact implementation and is labelled "Python approximation of scDist" throughout. Script: notebooks/101_competitors_v44.py; report: results/competitors_v44_report.md; seed 42; at least 20 replicates for every simulation and power number.</w:t>
      </w:r>
    </w:p>
    <w:p>
      <w:r>
        <w:rPr>
          <w:rFonts w:ascii="Arial" w:hAnsi="Arial"/>
          <w:b w:val="0"/>
          <w:color w:val="000000"/>
          <w:sz w:val="22"/>
        </w:rPr>
        <w:t>Kang IFN-β real data (GSE96583; same design as Supplementary Note 6). All three methods agree on direction in 6 of 6 cell types (every type shows ω_cal &gt; 1 and MELD within-type AUC &gt; 0.5). The IFN-β effect is near-ceiling, so MELD AUCs saturate (0.997–0.9998) with almost no dynamic range, while the scDist-approximation distances span 71.9–182.6 (CD14+ monocytes highest). Per-type quantitative rankings are not comparable across methods (Spearman: CKI–MELD ρ = −0.09, P = 0.87; CKI–scDist ρ = 0.14, P = 0.79; MELD–scDist ρ = 0.77, P = 0.07); CKI’s ω_cal spread (1.76–3.44) reflects anchor visibility rather than effect size.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Cell type</w:t>
            </w:r>
          </w:p>
        </w:tc>
        <w:tc>
          <w:tcPr>
            <w:tcW w:type="dxa" w:w="1881"/>
          </w:tcPr>
          <w:p>
            <w:r>
              <w:rPr>
                <w:rFonts w:ascii="Arial" w:hAnsi="Arial"/>
                <w:b/>
                <w:sz w:val="18"/>
              </w:rPr>
              <w:t>n cells</w:t>
            </w:r>
          </w:p>
        </w:tc>
        <w:tc>
          <w:tcPr>
            <w:tcW w:type="dxa" w:w="1881"/>
          </w:tcPr>
          <w:p>
            <w:r>
              <w:rPr>
                <w:rFonts w:ascii="Arial" w:hAnsi="Arial"/>
                <w:b/>
                <w:sz w:val="18"/>
              </w:rPr>
              <w:t>CKI ω_cal</w:t>
            </w:r>
          </w:p>
        </w:tc>
        <w:tc>
          <w:tcPr>
            <w:tcW w:type="dxa" w:w="1881"/>
          </w:tcPr>
          <w:p>
            <w:r>
              <w:rPr>
                <w:rFonts w:ascii="Arial" w:hAnsi="Arial"/>
                <w:b/>
                <w:sz w:val="18"/>
              </w:rPr>
              <w:t>MELD within-type AUC</w:t>
            </w:r>
          </w:p>
        </w:tc>
        <w:tc>
          <w:tcPr>
            <w:tcW w:type="dxa" w:w="1881"/>
          </w:tcPr>
          <w:p>
            <w:r>
              <w:rPr>
                <w:rFonts w:ascii="Arial" w:hAnsi="Arial"/>
                <w:b/>
                <w:sz w:val="18"/>
              </w:rPr>
              <w:t>scDist-approx distance</w:t>
            </w:r>
          </w:p>
        </w:tc>
      </w:tr>
      <w:tr>
        <w:tc>
          <w:tcPr>
            <w:tcW w:type="dxa" w:w="1881"/>
          </w:tcPr>
          <w:p>
            <w:r>
              <w:rPr>
                <w:rFonts w:ascii="Arial" w:hAnsi="Arial"/>
                <w:sz w:val="18"/>
              </w:rPr>
              <w:t>B cells</w:t>
            </w:r>
          </w:p>
        </w:tc>
        <w:tc>
          <w:tcPr>
            <w:tcW w:type="dxa" w:w="1881"/>
          </w:tcPr>
          <w:p>
            <w:r>
              <w:rPr>
                <w:rFonts w:ascii="Arial" w:hAnsi="Arial"/>
                <w:sz w:val="18"/>
              </w:rPr>
              <w:t>2,573</w:t>
            </w:r>
          </w:p>
        </w:tc>
        <w:tc>
          <w:tcPr>
            <w:tcW w:type="dxa" w:w="1881"/>
          </w:tcPr>
          <w:p>
            <w:r>
              <w:rPr>
                <w:rFonts w:ascii="Arial" w:hAnsi="Arial"/>
                <w:sz w:val="18"/>
              </w:rPr>
              <w:t>3.44</w:t>
            </w:r>
          </w:p>
        </w:tc>
        <w:tc>
          <w:tcPr>
            <w:tcW w:type="dxa" w:w="1881"/>
          </w:tcPr>
          <w:p>
            <w:r>
              <w:rPr>
                <w:rFonts w:ascii="Arial" w:hAnsi="Arial"/>
                <w:sz w:val="18"/>
              </w:rPr>
              <w:t>0.9994</w:t>
            </w:r>
          </w:p>
        </w:tc>
        <w:tc>
          <w:tcPr>
            <w:tcW w:type="dxa" w:w="1881"/>
          </w:tcPr>
          <w:p>
            <w:r>
              <w:rPr>
                <w:rFonts w:ascii="Arial" w:hAnsi="Arial"/>
                <w:sz w:val="18"/>
              </w:rPr>
              <w:t>94.7</w:t>
            </w:r>
          </w:p>
        </w:tc>
      </w:tr>
      <w:tr>
        <w:tc>
          <w:tcPr>
            <w:tcW w:type="dxa" w:w="1881"/>
          </w:tcPr>
          <w:p>
            <w:r>
              <w:rPr>
                <w:rFonts w:ascii="Arial" w:hAnsi="Arial"/>
                <w:sz w:val="18"/>
              </w:rPr>
              <w:t>CD14+ monocytes</w:t>
            </w:r>
          </w:p>
        </w:tc>
        <w:tc>
          <w:tcPr>
            <w:tcW w:type="dxa" w:w="1881"/>
          </w:tcPr>
          <w:p>
            <w:r>
              <w:rPr>
                <w:rFonts w:ascii="Arial" w:hAnsi="Arial"/>
                <w:sz w:val="18"/>
              </w:rPr>
              <w:t>5,385</w:t>
            </w:r>
          </w:p>
        </w:tc>
        <w:tc>
          <w:tcPr>
            <w:tcW w:type="dxa" w:w="1881"/>
          </w:tcPr>
          <w:p>
            <w:r>
              <w:rPr>
                <w:rFonts w:ascii="Arial" w:hAnsi="Arial"/>
                <w:sz w:val="18"/>
              </w:rPr>
              <w:t>2.28</w:t>
            </w:r>
          </w:p>
        </w:tc>
        <w:tc>
          <w:tcPr>
            <w:tcW w:type="dxa" w:w="1881"/>
          </w:tcPr>
          <w:p>
            <w:r>
              <w:rPr>
                <w:rFonts w:ascii="Arial" w:hAnsi="Arial"/>
                <w:sz w:val="18"/>
              </w:rPr>
              <w:t>0.9998</w:t>
            </w:r>
          </w:p>
        </w:tc>
        <w:tc>
          <w:tcPr>
            <w:tcW w:type="dxa" w:w="1881"/>
          </w:tcPr>
          <w:p>
            <w:r>
              <w:rPr>
                <w:rFonts w:ascii="Arial" w:hAnsi="Arial"/>
                <w:sz w:val="18"/>
              </w:rPr>
              <w:t>182.6</w:t>
            </w:r>
          </w:p>
        </w:tc>
      </w:tr>
      <w:tr>
        <w:tc>
          <w:tcPr>
            <w:tcW w:type="dxa" w:w="1881"/>
          </w:tcPr>
          <w:p>
            <w:r>
              <w:rPr>
                <w:rFonts w:ascii="Arial" w:hAnsi="Arial"/>
                <w:sz w:val="18"/>
              </w:rPr>
              <w:t>CD4 T cells</w:t>
            </w:r>
          </w:p>
        </w:tc>
        <w:tc>
          <w:tcPr>
            <w:tcW w:type="dxa" w:w="1881"/>
          </w:tcPr>
          <w:p>
            <w:r>
              <w:rPr>
                <w:rFonts w:ascii="Arial" w:hAnsi="Arial"/>
                <w:sz w:val="18"/>
              </w:rPr>
              <w:t>10,389</w:t>
            </w:r>
          </w:p>
        </w:tc>
        <w:tc>
          <w:tcPr>
            <w:tcW w:type="dxa" w:w="1881"/>
          </w:tcPr>
          <w:p>
            <w:r>
              <w:rPr>
                <w:rFonts w:ascii="Arial" w:hAnsi="Arial"/>
                <w:sz w:val="18"/>
              </w:rPr>
              <w:t>1.76</w:t>
            </w:r>
          </w:p>
        </w:tc>
        <w:tc>
          <w:tcPr>
            <w:tcW w:type="dxa" w:w="1881"/>
          </w:tcPr>
          <w:p>
            <w:r>
              <w:rPr>
                <w:rFonts w:ascii="Arial" w:hAnsi="Arial"/>
                <w:sz w:val="18"/>
              </w:rPr>
              <w:t>0.9989</w:t>
            </w:r>
          </w:p>
        </w:tc>
        <w:tc>
          <w:tcPr>
            <w:tcW w:type="dxa" w:w="1881"/>
          </w:tcPr>
          <w:p>
            <w:r>
              <w:rPr>
                <w:rFonts w:ascii="Arial" w:hAnsi="Arial"/>
                <w:sz w:val="18"/>
              </w:rPr>
              <w:t>71.9</w:t>
            </w:r>
          </w:p>
        </w:tc>
      </w:tr>
      <w:tr>
        <w:tc>
          <w:tcPr>
            <w:tcW w:type="dxa" w:w="1881"/>
          </w:tcPr>
          <w:p>
            <w:r>
              <w:rPr>
                <w:rFonts w:ascii="Arial" w:hAnsi="Arial"/>
                <w:sz w:val="18"/>
              </w:rPr>
              <w:t>CD8 T cells</w:t>
            </w:r>
          </w:p>
        </w:tc>
        <w:tc>
          <w:tcPr>
            <w:tcW w:type="dxa" w:w="1881"/>
          </w:tcPr>
          <w:p>
            <w:r>
              <w:rPr>
                <w:rFonts w:ascii="Arial" w:hAnsi="Arial"/>
                <w:sz w:val="18"/>
              </w:rPr>
              <w:t>2,042</w:t>
            </w:r>
          </w:p>
        </w:tc>
        <w:tc>
          <w:tcPr>
            <w:tcW w:type="dxa" w:w="1881"/>
          </w:tcPr>
          <w:p>
            <w:r>
              <w:rPr>
                <w:rFonts w:ascii="Arial" w:hAnsi="Arial"/>
                <w:sz w:val="18"/>
              </w:rPr>
              <w:t>3.23</w:t>
            </w:r>
          </w:p>
        </w:tc>
        <w:tc>
          <w:tcPr>
            <w:tcW w:type="dxa" w:w="1881"/>
          </w:tcPr>
          <w:p>
            <w:r>
              <w:rPr>
                <w:rFonts w:ascii="Arial" w:hAnsi="Arial"/>
                <w:sz w:val="18"/>
              </w:rPr>
              <w:t>0.9976</w:t>
            </w:r>
          </w:p>
        </w:tc>
        <w:tc>
          <w:tcPr>
            <w:tcW w:type="dxa" w:w="1881"/>
          </w:tcPr>
          <w:p>
            <w:r>
              <w:rPr>
                <w:rFonts w:ascii="Arial" w:hAnsi="Arial"/>
                <w:sz w:val="18"/>
              </w:rPr>
              <w:t>72.4</w:t>
            </w:r>
          </w:p>
        </w:tc>
      </w:tr>
      <w:tr>
        <w:tc>
          <w:tcPr>
            <w:tcW w:type="dxa" w:w="1881"/>
          </w:tcPr>
          <w:p>
            <w:r>
              <w:rPr>
                <w:rFonts w:ascii="Arial" w:hAnsi="Arial"/>
                <w:sz w:val="18"/>
              </w:rPr>
              <w:t>FCGR3A+ monocytes</w:t>
            </w:r>
          </w:p>
        </w:tc>
        <w:tc>
          <w:tcPr>
            <w:tcW w:type="dxa" w:w="1881"/>
          </w:tcPr>
          <w:p>
            <w:r>
              <w:rPr>
                <w:rFonts w:ascii="Arial" w:hAnsi="Arial"/>
                <w:sz w:val="18"/>
              </w:rPr>
              <w:t>1,599</w:t>
            </w:r>
          </w:p>
        </w:tc>
        <w:tc>
          <w:tcPr>
            <w:tcW w:type="dxa" w:w="1881"/>
          </w:tcPr>
          <w:p>
            <w:r>
              <w:rPr>
                <w:rFonts w:ascii="Arial" w:hAnsi="Arial"/>
                <w:sz w:val="18"/>
              </w:rPr>
              <w:t>3.09</w:t>
            </w:r>
          </w:p>
        </w:tc>
        <w:tc>
          <w:tcPr>
            <w:tcW w:type="dxa" w:w="1881"/>
          </w:tcPr>
          <w:p>
            <w:r>
              <w:rPr>
                <w:rFonts w:ascii="Arial" w:hAnsi="Arial"/>
                <w:sz w:val="18"/>
              </w:rPr>
              <w:t>0.9995</w:t>
            </w:r>
          </w:p>
        </w:tc>
        <w:tc>
          <w:tcPr>
            <w:tcW w:type="dxa" w:w="1881"/>
          </w:tcPr>
          <w:p>
            <w:r>
              <w:rPr>
                <w:rFonts w:ascii="Arial" w:hAnsi="Arial"/>
                <w:sz w:val="18"/>
              </w:rPr>
              <w:t>145.3</w:t>
            </w:r>
          </w:p>
        </w:tc>
      </w:tr>
      <w:tr>
        <w:tc>
          <w:tcPr>
            <w:tcW w:type="dxa" w:w="1881"/>
          </w:tcPr>
          <w:p>
            <w:r>
              <w:rPr>
                <w:rFonts w:ascii="Arial" w:hAnsi="Arial"/>
                <w:sz w:val="18"/>
              </w:rPr>
              <w:t>NK cells</w:t>
            </w:r>
          </w:p>
        </w:tc>
        <w:tc>
          <w:tcPr>
            <w:tcW w:type="dxa" w:w="1881"/>
          </w:tcPr>
          <w:p>
            <w:r>
              <w:rPr>
                <w:rFonts w:ascii="Arial" w:hAnsi="Arial"/>
                <w:sz w:val="18"/>
              </w:rPr>
              <w:t>1,993</w:t>
            </w:r>
          </w:p>
        </w:tc>
        <w:tc>
          <w:tcPr>
            <w:tcW w:type="dxa" w:w="1881"/>
          </w:tcPr>
          <w:p>
            <w:r>
              <w:rPr>
                <w:rFonts w:ascii="Arial" w:hAnsi="Arial"/>
                <w:sz w:val="18"/>
              </w:rPr>
              <w:t>2.88</w:t>
            </w:r>
          </w:p>
        </w:tc>
        <w:tc>
          <w:tcPr>
            <w:tcW w:type="dxa" w:w="1881"/>
          </w:tcPr>
          <w:p>
            <w:r>
              <w:rPr>
                <w:rFonts w:ascii="Arial" w:hAnsi="Arial"/>
                <w:sz w:val="18"/>
              </w:rPr>
              <w:t>0.9972</w:t>
            </w:r>
          </w:p>
        </w:tc>
        <w:tc>
          <w:tcPr>
            <w:tcW w:type="dxa" w:w="1881"/>
          </w:tcPr>
          <w:p>
            <w:r>
              <w:rPr>
                <w:rFonts w:ascii="Arial" w:hAnsi="Arial"/>
                <w:sz w:val="18"/>
              </w:rPr>
              <w:t>88.2</w:t>
            </w:r>
          </w:p>
        </w:tc>
      </w:tr>
    </w:tbl>
    <w:p>
      <w:r>
        <w:rPr>
          <w:rFonts w:ascii="Arial" w:hAnsi="Arial"/>
          <w:b w:val="0"/>
          <w:color w:val="000000"/>
          <w:sz w:val="22"/>
        </w:rPr>
        <w:t>Table (Section 3.11a). Per-cell-type effects on Kang IFN-β (stimulated versus control). ω_cal is calibrated against the split-half baseline of Supplementary Note 6.</w:t>
      </w:r>
    </w:p>
    <w:p>
      <w:r>
        <w:rPr>
          <w:rFonts w:ascii="Arial" w:hAnsi="Arial"/>
          <w:b w:val="0"/>
          <w:color w:val="000000"/>
          <w:sz w:val="22"/>
        </w:rPr>
        <w:t>Simulation with known ground truth (Kang control background; additive Poisson mean-shift on G ∈ {100, 500} non-HK genes in CD14+ monocytes, fold ∈ {2, 4, 8}; 20 effect plus 20 pure-null replicates per configuration; thresholds at the null q95, FPR on held-out nulls). MELD and the scDist approximation achieve perfect detection at every configuration (sensitivity 1.00, AUC 1.000; per-type FPR 0.033 and 0.050), while CKI ω is insensitive at G = 100 (AUC 0.52 → 0.79 for fold 2 → 8) and anti-monotonic at G = 500 (AUC 0.05–0.13). The mechanism is documented by the diagnostic components: at G = 500 and fold ≥ 4 the broad shift moves the HK anchor itself (k_n AUC = 1.000), so ω = k_f/k_n is annihilated by its own denominator. ω quantifies divergence in excess of anchor movement and is by construction insensitive to perturbations whose dominant effect is a broad mean shift — a design property, disclosed here as a boundary of the method (the anchor-visibility boundary; see also Supplementary Notes 1 and 6).</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rFonts w:ascii="Arial" w:hAnsi="Arial"/>
                <w:b/>
                <w:sz w:val="18"/>
              </w:rPr>
              <w:t>Method</w:t>
            </w:r>
          </w:p>
        </w:tc>
        <w:tc>
          <w:tcPr>
            <w:tcW w:type="dxa" w:w="1176"/>
          </w:tcPr>
          <w:p>
            <w:r>
              <w:rPr>
                <w:rFonts w:ascii="Arial" w:hAnsi="Arial"/>
                <w:b/>
                <w:sz w:val="18"/>
              </w:rPr>
              <w:t>FPR/type</w:t>
            </w:r>
          </w:p>
        </w:tc>
        <w:tc>
          <w:tcPr>
            <w:tcW w:type="dxa" w:w="1176"/>
          </w:tcPr>
          <w:p>
            <w:r>
              <w:rPr>
                <w:rFonts w:ascii="Arial" w:hAnsi="Arial"/>
                <w:b/>
                <w:sz w:val="18"/>
              </w:rPr>
              <w:t>G100 F2</w:t>
            </w:r>
          </w:p>
        </w:tc>
        <w:tc>
          <w:tcPr>
            <w:tcW w:type="dxa" w:w="1176"/>
          </w:tcPr>
          <w:p>
            <w:r>
              <w:rPr>
                <w:rFonts w:ascii="Arial" w:hAnsi="Arial"/>
                <w:b/>
                <w:sz w:val="18"/>
              </w:rPr>
              <w:t>G100 F4</w:t>
            </w:r>
          </w:p>
        </w:tc>
        <w:tc>
          <w:tcPr>
            <w:tcW w:type="dxa" w:w="1176"/>
          </w:tcPr>
          <w:p>
            <w:r>
              <w:rPr>
                <w:rFonts w:ascii="Arial" w:hAnsi="Arial"/>
                <w:b/>
                <w:sz w:val="18"/>
              </w:rPr>
              <w:t>G100 F8</w:t>
            </w:r>
          </w:p>
        </w:tc>
        <w:tc>
          <w:tcPr>
            <w:tcW w:type="dxa" w:w="1176"/>
          </w:tcPr>
          <w:p>
            <w:r>
              <w:rPr>
                <w:rFonts w:ascii="Arial" w:hAnsi="Arial"/>
                <w:b/>
                <w:sz w:val="18"/>
              </w:rPr>
              <w:t>G500 F2</w:t>
            </w:r>
          </w:p>
        </w:tc>
        <w:tc>
          <w:tcPr>
            <w:tcW w:type="dxa" w:w="1176"/>
          </w:tcPr>
          <w:p>
            <w:r>
              <w:rPr>
                <w:rFonts w:ascii="Arial" w:hAnsi="Arial"/>
                <w:b/>
                <w:sz w:val="18"/>
              </w:rPr>
              <w:t>G500 F4</w:t>
            </w:r>
          </w:p>
        </w:tc>
        <w:tc>
          <w:tcPr>
            <w:tcW w:type="dxa" w:w="1176"/>
          </w:tcPr>
          <w:p>
            <w:r>
              <w:rPr>
                <w:rFonts w:ascii="Arial" w:hAnsi="Arial"/>
                <w:b/>
                <w:sz w:val="18"/>
              </w:rPr>
              <w:t>G500 F8</w:t>
            </w:r>
          </w:p>
        </w:tc>
      </w:tr>
      <w:tr>
        <w:tc>
          <w:tcPr>
            <w:tcW w:type="dxa" w:w="1176"/>
          </w:tcPr>
          <w:p>
            <w:r>
              <w:rPr>
                <w:rFonts w:ascii="Arial" w:hAnsi="Arial"/>
                <w:sz w:val="18"/>
              </w:rPr>
              <w:t>MELD</w:t>
            </w:r>
          </w:p>
        </w:tc>
        <w:tc>
          <w:tcPr>
            <w:tcW w:type="dxa" w:w="1176"/>
          </w:tcPr>
          <w:p>
            <w:r>
              <w:rPr>
                <w:rFonts w:ascii="Arial" w:hAnsi="Arial"/>
                <w:sz w:val="18"/>
              </w:rPr>
              <w:t>0.033</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r>
      <w:tr>
        <w:tc>
          <w:tcPr>
            <w:tcW w:type="dxa" w:w="1176"/>
          </w:tcPr>
          <w:p>
            <w:r>
              <w:rPr>
                <w:rFonts w:ascii="Arial" w:hAnsi="Arial"/>
                <w:sz w:val="18"/>
              </w:rPr>
              <w:t>scDist (Python approximation)</w:t>
            </w:r>
          </w:p>
        </w:tc>
        <w:tc>
          <w:tcPr>
            <w:tcW w:type="dxa" w:w="1176"/>
          </w:tcPr>
          <w:p>
            <w:r>
              <w:rPr>
                <w:rFonts w:ascii="Arial" w:hAnsi="Arial"/>
                <w:sz w:val="18"/>
              </w:rPr>
              <w:t>0.050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r>
      <w:tr>
        <w:tc>
          <w:tcPr>
            <w:tcW w:type="dxa" w:w="1176"/>
          </w:tcPr>
          <w:p>
            <w:r>
              <w:rPr>
                <w:rFonts w:ascii="Arial" w:hAnsi="Arial"/>
                <w:sz w:val="18"/>
              </w:rPr>
              <w:t>CKI ω</w:t>
            </w:r>
          </w:p>
        </w:tc>
        <w:tc>
          <w:tcPr>
            <w:tcW w:type="dxa" w:w="1176"/>
          </w:tcPr>
          <w:p>
            <w:r>
              <w:rPr>
                <w:rFonts w:ascii="Arial" w:hAnsi="Arial"/>
                <w:sz w:val="18"/>
              </w:rPr>
              <w:t>0.083</w:t>
            </w:r>
          </w:p>
        </w:tc>
        <w:tc>
          <w:tcPr>
            <w:tcW w:type="dxa" w:w="1176"/>
          </w:tcPr>
          <w:p>
            <w:r>
              <w:rPr>
                <w:rFonts w:ascii="Arial" w:hAnsi="Arial"/>
                <w:sz w:val="18"/>
              </w:rPr>
              <w:t>0.517</w:t>
            </w:r>
          </w:p>
        </w:tc>
        <w:tc>
          <w:tcPr>
            <w:tcW w:type="dxa" w:w="1176"/>
          </w:tcPr>
          <w:p>
            <w:r>
              <w:rPr>
                <w:rFonts w:ascii="Arial" w:hAnsi="Arial"/>
                <w:sz w:val="18"/>
              </w:rPr>
              <w:t>0.688</w:t>
            </w:r>
          </w:p>
        </w:tc>
        <w:tc>
          <w:tcPr>
            <w:tcW w:type="dxa" w:w="1176"/>
          </w:tcPr>
          <w:p>
            <w:r>
              <w:rPr>
                <w:rFonts w:ascii="Arial" w:hAnsi="Arial"/>
                <w:sz w:val="18"/>
              </w:rPr>
              <w:t>0.787</w:t>
            </w:r>
          </w:p>
        </w:tc>
        <w:tc>
          <w:tcPr>
            <w:tcW w:type="dxa" w:w="1176"/>
          </w:tcPr>
          <w:p>
            <w:r>
              <w:rPr>
                <w:rFonts w:ascii="Arial" w:hAnsi="Arial"/>
                <w:sz w:val="18"/>
              </w:rPr>
              <w:t>0.127</w:t>
            </w:r>
          </w:p>
        </w:tc>
        <w:tc>
          <w:tcPr>
            <w:tcW w:type="dxa" w:w="1176"/>
          </w:tcPr>
          <w:p>
            <w:r>
              <w:rPr>
                <w:rFonts w:ascii="Arial" w:hAnsi="Arial"/>
                <w:sz w:val="18"/>
              </w:rPr>
              <w:t>0.059</w:t>
            </w:r>
          </w:p>
        </w:tc>
        <w:tc>
          <w:tcPr>
            <w:tcW w:type="dxa" w:w="1176"/>
          </w:tcPr>
          <w:p>
            <w:r>
              <w:rPr>
                <w:rFonts w:ascii="Arial" w:hAnsi="Arial"/>
                <w:sz w:val="18"/>
              </w:rPr>
              <w:t>0.054</w:t>
            </w:r>
          </w:p>
        </w:tc>
      </w:tr>
    </w:tbl>
    <w:p>
      <w:r>
        <w:rPr>
          <w:rFonts w:ascii="Arial" w:hAnsi="Arial"/>
          <w:b w:val="0"/>
          <w:color w:val="000000"/>
          <w:sz w:val="22"/>
        </w:rPr>
        <w:t>Table (Section 3.11b). Target-detection AUC (target CD14+ monocytes versus the five null cell types) in the additive mean-shift simulation. MELD and the scDist approximation also achieve sensitivity 1.00 and top-1 hit rate 1.00 at every configuration.</w:t>
      </w:r>
    </w:p>
    <w:p>
      <w:r>
        <w:rPr>
          <w:rFonts w:ascii="Arial" w:hAnsi="Arial"/>
          <w:b w:val="0"/>
          <w:color w:val="000000"/>
          <w:sz w:val="22"/>
        </w:rPr>
        <w:t>Power formalization (donor-paired design of Supplementary Note 6; per-pair permutation test on ω, B = 100, one-sided P &lt; 0.05; 20 replicates per cell type and sample size). Power at n = 50 cells per condition per donor is 0.67–0.93 across the six cell types; it declines as n grows (n = 100: 0.47–0.76; n = 200: 0.17–0.55; n = 500: 0.09 in the only testable type; pooled-donor designs at n ≥ 500: ≈ 0), because the permutation null of ω explodes with pseudobulk size (k_n → 0 in the null while top-200 selection keeps k_f elevated), so observed and null stop separating. CKI’s operating regime is therefore approximately 50–200 cells per donor per condition; large pooled pseudobulks defeat the ω permutation test. MELD- and scDist-style scores have no such boundary but do not decompose donor drift, which is CKI’s design target.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Cell type</w:t>
            </w:r>
          </w:p>
        </w:tc>
        <w:tc>
          <w:tcPr>
            <w:tcW w:type="dxa" w:w="1881"/>
          </w:tcPr>
          <w:p>
            <w:r>
              <w:rPr>
                <w:rFonts w:ascii="Arial" w:hAnsi="Arial"/>
                <w:b/>
                <w:sz w:val="18"/>
              </w:rPr>
              <w:t>n = 50</w:t>
            </w:r>
          </w:p>
        </w:tc>
        <w:tc>
          <w:tcPr>
            <w:tcW w:type="dxa" w:w="1881"/>
          </w:tcPr>
          <w:p>
            <w:r>
              <w:rPr>
                <w:rFonts w:ascii="Arial" w:hAnsi="Arial"/>
                <w:b/>
                <w:sz w:val="18"/>
              </w:rPr>
              <w:t>n = 100</w:t>
            </w:r>
          </w:p>
        </w:tc>
        <w:tc>
          <w:tcPr>
            <w:tcW w:type="dxa" w:w="1881"/>
          </w:tcPr>
          <w:p>
            <w:r>
              <w:rPr>
                <w:rFonts w:ascii="Arial" w:hAnsi="Arial"/>
                <w:b/>
                <w:sz w:val="18"/>
              </w:rPr>
              <w:t>n = 200</w:t>
            </w:r>
          </w:p>
        </w:tc>
        <w:tc>
          <w:tcPr>
            <w:tcW w:type="dxa" w:w="1881"/>
          </w:tcPr>
          <w:p>
            <w:r>
              <w:rPr>
                <w:rFonts w:ascii="Arial" w:hAnsi="Arial"/>
                <w:b/>
                <w:sz w:val="18"/>
              </w:rPr>
              <w:t>n = 500</w:t>
            </w:r>
          </w:p>
        </w:tc>
      </w:tr>
      <w:tr>
        <w:tc>
          <w:tcPr>
            <w:tcW w:type="dxa" w:w="1881"/>
          </w:tcPr>
          <w:p>
            <w:r>
              <w:rPr>
                <w:rFonts w:ascii="Arial" w:hAnsi="Arial"/>
                <w:sz w:val="18"/>
              </w:rPr>
              <w:t>B cells</w:t>
            </w:r>
          </w:p>
        </w:tc>
        <w:tc>
          <w:tcPr>
            <w:tcW w:type="dxa" w:w="1881"/>
          </w:tcPr>
          <w:p>
            <w:r>
              <w:rPr>
                <w:rFonts w:ascii="Arial" w:hAnsi="Arial"/>
                <w:sz w:val="18"/>
              </w:rPr>
              <w:t>0.84</w:t>
            </w:r>
          </w:p>
        </w:tc>
        <w:tc>
          <w:tcPr>
            <w:tcW w:type="dxa" w:w="1881"/>
          </w:tcPr>
          <w:p>
            <w:r>
              <w:rPr>
                <w:rFonts w:ascii="Arial" w:hAnsi="Arial"/>
                <w:sz w:val="18"/>
              </w:rPr>
              <w:t>0.68</w:t>
            </w:r>
          </w:p>
        </w:tc>
        <w:tc>
          <w:tcPr>
            <w:tcW w:type="dxa" w:w="1881"/>
          </w:tcPr>
          <w:p>
            <w:r>
              <w:rPr>
                <w:rFonts w:ascii="Arial" w:hAnsi="Arial"/>
                <w:sz w:val="18"/>
              </w:rPr>
              <w:t>0.17</w:t>
            </w:r>
          </w:p>
        </w:tc>
        <w:tc>
          <w:tcPr>
            <w:tcW w:type="dxa" w:w="1881"/>
          </w:tcPr>
          <w:p>
            <w:r>
              <w:rPr>
                <w:rFonts w:ascii="Arial" w:hAnsi="Arial"/>
                <w:sz w:val="18"/>
              </w:rPr>
              <w:t>—</w:t>
            </w:r>
          </w:p>
        </w:tc>
      </w:tr>
      <w:tr>
        <w:tc>
          <w:tcPr>
            <w:tcW w:type="dxa" w:w="1881"/>
          </w:tcPr>
          <w:p>
            <w:r>
              <w:rPr>
                <w:rFonts w:ascii="Arial" w:hAnsi="Arial"/>
                <w:sz w:val="18"/>
              </w:rPr>
              <w:t>CD14+ monocytes</w:t>
            </w:r>
          </w:p>
        </w:tc>
        <w:tc>
          <w:tcPr>
            <w:tcW w:type="dxa" w:w="1881"/>
          </w:tcPr>
          <w:p>
            <w:r>
              <w:rPr>
                <w:rFonts w:ascii="Arial" w:hAnsi="Arial"/>
                <w:sz w:val="18"/>
              </w:rPr>
              <w:t>0.78</w:t>
            </w:r>
          </w:p>
        </w:tc>
        <w:tc>
          <w:tcPr>
            <w:tcW w:type="dxa" w:w="1881"/>
          </w:tcPr>
          <w:p>
            <w:r>
              <w:rPr>
                <w:rFonts w:ascii="Arial" w:hAnsi="Arial"/>
                <w:sz w:val="18"/>
              </w:rPr>
              <w:t>0.76</w:t>
            </w:r>
          </w:p>
        </w:tc>
        <w:tc>
          <w:tcPr>
            <w:tcW w:type="dxa" w:w="1881"/>
          </w:tcPr>
          <w:p>
            <w:r>
              <w:rPr>
                <w:rFonts w:ascii="Arial" w:hAnsi="Arial"/>
                <w:sz w:val="18"/>
              </w:rPr>
              <w:t>0.55</w:t>
            </w:r>
          </w:p>
        </w:tc>
        <w:tc>
          <w:tcPr>
            <w:tcW w:type="dxa" w:w="1881"/>
          </w:tcPr>
          <w:p>
            <w:r>
              <w:rPr>
                <w:rFonts w:ascii="Arial" w:hAnsi="Arial"/>
                <w:sz w:val="18"/>
              </w:rPr>
              <w:t>—</w:t>
            </w:r>
          </w:p>
        </w:tc>
      </w:tr>
      <w:tr>
        <w:tc>
          <w:tcPr>
            <w:tcW w:type="dxa" w:w="1881"/>
          </w:tcPr>
          <w:p>
            <w:r>
              <w:rPr>
                <w:rFonts w:ascii="Arial" w:hAnsi="Arial"/>
                <w:sz w:val="18"/>
              </w:rPr>
              <w:t>CD4 T cells</w:t>
            </w:r>
          </w:p>
        </w:tc>
        <w:tc>
          <w:tcPr>
            <w:tcW w:type="dxa" w:w="1881"/>
          </w:tcPr>
          <w:p>
            <w:r>
              <w:rPr>
                <w:rFonts w:ascii="Arial" w:hAnsi="Arial"/>
                <w:sz w:val="18"/>
              </w:rPr>
              <w:t>0.67</w:t>
            </w:r>
          </w:p>
        </w:tc>
        <w:tc>
          <w:tcPr>
            <w:tcW w:type="dxa" w:w="1881"/>
          </w:tcPr>
          <w:p>
            <w:r>
              <w:rPr>
                <w:rFonts w:ascii="Arial" w:hAnsi="Arial"/>
                <w:sz w:val="18"/>
              </w:rPr>
              <w:t>0.61</w:t>
            </w:r>
          </w:p>
        </w:tc>
        <w:tc>
          <w:tcPr>
            <w:tcW w:type="dxa" w:w="1881"/>
          </w:tcPr>
          <w:p>
            <w:r>
              <w:rPr>
                <w:rFonts w:ascii="Arial" w:hAnsi="Arial"/>
                <w:sz w:val="18"/>
              </w:rPr>
              <w:t>0.47</w:t>
            </w:r>
          </w:p>
        </w:tc>
        <w:tc>
          <w:tcPr>
            <w:tcW w:type="dxa" w:w="1881"/>
          </w:tcPr>
          <w:p>
            <w:r>
              <w:rPr>
                <w:rFonts w:ascii="Arial" w:hAnsi="Arial"/>
                <w:sz w:val="18"/>
              </w:rPr>
              <w:t>0.09</w:t>
            </w:r>
          </w:p>
        </w:tc>
      </w:tr>
      <w:tr>
        <w:tc>
          <w:tcPr>
            <w:tcW w:type="dxa" w:w="1881"/>
          </w:tcPr>
          <w:p>
            <w:r>
              <w:rPr>
                <w:rFonts w:ascii="Arial" w:hAnsi="Arial"/>
                <w:sz w:val="18"/>
              </w:rPr>
              <w:t>CD8 T cells</w:t>
            </w:r>
          </w:p>
        </w:tc>
        <w:tc>
          <w:tcPr>
            <w:tcW w:type="dxa" w:w="1881"/>
          </w:tcPr>
          <w:p>
            <w:r>
              <w:rPr>
                <w:rFonts w:ascii="Arial" w:hAnsi="Arial"/>
                <w:sz w:val="18"/>
              </w:rPr>
              <w:t>0.70</w:t>
            </w:r>
          </w:p>
        </w:tc>
        <w:tc>
          <w:tcPr>
            <w:tcW w:type="dxa" w:w="1881"/>
          </w:tcPr>
          <w:p>
            <w:r>
              <w:rPr>
                <w:rFonts w:ascii="Arial" w:hAnsi="Arial"/>
                <w:sz w:val="18"/>
              </w:rPr>
              <w:t>0.68</w:t>
            </w:r>
          </w:p>
        </w:tc>
        <w:tc>
          <w:tcPr>
            <w:tcW w:type="dxa" w:w="1881"/>
          </w:tcPr>
          <w:p>
            <w:r>
              <w:rPr>
                <w:rFonts w:ascii="Arial" w:hAnsi="Arial"/>
                <w:sz w:val="18"/>
              </w:rPr>
              <w:t>—</w:t>
            </w:r>
          </w:p>
        </w:tc>
        <w:tc>
          <w:tcPr>
            <w:tcW w:type="dxa" w:w="1881"/>
          </w:tcPr>
          <w:p>
            <w:r>
              <w:rPr>
                <w:rFonts w:ascii="Arial" w:hAnsi="Arial"/>
                <w:sz w:val="18"/>
              </w:rPr>
              <w:t>—</w:t>
            </w:r>
          </w:p>
        </w:tc>
      </w:tr>
      <w:tr>
        <w:tc>
          <w:tcPr>
            <w:tcW w:type="dxa" w:w="1881"/>
          </w:tcPr>
          <w:p>
            <w:r>
              <w:rPr>
                <w:rFonts w:ascii="Arial" w:hAnsi="Arial"/>
                <w:sz w:val="18"/>
              </w:rPr>
              <w:t>FCGR3A+ monocytes</w:t>
            </w:r>
          </w:p>
        </w:tc>
        <w:tc>
          <w:tcPr>
            <w:tcW w:type="dxa" w:w="1881"/>
          </w:tcPr>
          <w:p>
            <w:r>
              <w:rPr>
                <w:rFonts w:ascii="Arial" w:hAnsi="Arial"/>
                <w:sz w:val="18"/>
              </w:rPr>
              <w:t>0.74</w:t>
            </w:r>
          </w:p>
        </w:tc>
        <w:tc>
          <w:tcPr>
            <w:tcW w:type="dxa" w:w="1881"/>
          </w:tcPr>
          <w:p>
            <w:r>
              <w:rPr>
                <w:rFonts w:ascii="Arial" w:hAnsi="Arial"/>
                <w:sz w:val="18"/>
              </w:rPr>
              <w:t>0.47</w:t>
            </w:r>
          </w:p>
        </w:tc>
        <w:tc>
          <w:tcPr>
            <w:tcW w:type="dxa" w:w="1881"/>
          </w:tcPr>
          <w:p>
            <w:r>
              <w:rPr>
                <w:rFonts w:ascii="Arial" w:hAnsi="Arial"/>
                <w:sz w:val="18"/>
              </w:rPr>
              <w:t>—</w:t>
            </w:r>
          </w:p>
        </w:tc>
        <w:tc>
          <w:tcPr>
            <w:tcW w:type="dxa" w:w="1881"/>
          </w:tcPr>
          <w:p>
            <w:r>
              <w:rPr>
                <w:rFonts w:ascii="Arial" w:hAnsi="Arial"/>
                <w:sz w:val="18"/>
              </w:rPr>
              <w:t>—</w:t>
            </w:r>
          </w:p>
        </w:tc>
      </w:tr>
      <w:tr>
        <w:tc>
          <w:tcPr>
            <w:tcW w:type="dxa" w:w="1881"/>
          </w:tcPr>
          <w:p>
            <w:r>
              <w:rPr>
                <w:rFonts w:ascii="Arial" w:hAnsi="Arial"/>
                <w:sz w:val="18"/>
              </w:rPr>
              <w:t>NK cells</w:t>
            </w:r>
          </w:p>
        </w:tc>
        <w:tc>
          <w:tcPr>
            <w:tcW w:type="dxa" w:w="1881"/>
          </w:tcPr>
          <w:p>
            <w:r>
              <w:rPr>
                <w:rFonts w:ascii="Arial" w:hAnsi="Arial"/>
                <w:sz w:val="18"/>
              </w:rPr>
              <w:t>0.93</w:t>
            </w:r>
          </w:p>
        </w:tc>
        <w:tc>
          <w:tcPr>
            <w:tcW w:type="dxa" w:w="1881"/>
          </w:tcPr>
          <w:p>
            <w:r>
              <w:rPr>
                <w:rFonts w:ascii="Arial" w:hAnsi="Arial"/>
                <w:sz w:val="18"/>
              </w:rPr>
              <w:t>0.76</w:t>
            </w:r>
          </w:p>
        </w:tc>
        <w:tc>
          <w:tcPr>
            <w:tcW w:type="dxa" w:w="1881"/>
          </w:tcPr>
          <w:p>
            <w:r>
              <w:rPr>
                <w:rFonts w:ascii="Arial" w:hAnsi="Arial"/>
                <w:sz w:val="18"/>
              </w:rPr>
              <w:t>—</w:t>
            </w:r>
          </w:p>
        </w:tc>
        <w:tc>
          <w:tcPr>
            <w:tcW w:type="dxa" w:w="1881"/>
          </w:tcPr>
          <w:p>
            <w:r>
              <w:rPr>
                <w:rFonts w:ascii="Arial" w:hAnsi="Arial"/>
                <w:sz w:val="18"/>
              </w:rPr>
              <w:t>—</w:t>
            </w:r>
          </w:p>
        </w:tc>
      </w:tr>
    </w:tbl>
    <w:p>
      <w:r>
        <w:rPr>
          <w:rFonts w:ascii="Arial" w:hAnsi="Arial"/>
          <w:b w:val="0"/>
          <w:color w:val="000000"/>
          <w:sz w:val="22"/>
        </w:rPr>
        <w:t>Table (Section 3.11c). Donor-paired detection power (fraction of 20 replicates significant at one-sided P &lt; 0.05); cells marked — had too few eligible donors.</w:t>
      </w:r>
    </w:p>
    <w:p>
      <w:r>
        <w:rPr>
          <w:rFonts w:ascii="Arial" w:hAnsi="Arial"/>
          <w:b w:val="0"/>
          <w:color w:val="000000"/>
          <w:sz w:val="22"/>
        </w:rPr>
        <w:t>Summary. CKI is weaker than the competitors at detecting broad mean-shift perturbations (the anchor moves and ω is annihilated), at large-pseudobulk inference (power collapses for per-condition n ≳ 500), and at quantitative per-type ranking on near-ceiling real perturbations. CKI holds up on direction and type-level detection on real data (6/6 sign agreement with MELD), on donor-paired designs at its intended scale (70–93% power at n = 50), and on interpretability: the k_n/k_f decomposition pinpoints why a perturbation is or is not visible (anchor movement versus excess divergence), which neither MELD likelihoods nor scDist distances expose.</w:t>
      </w:r>
    </w:p>
    <w:p>
      <w:r>
        <w:rPr>
          <w:rFonts w:ascii="Arial" w:hAnsi="Arial"/>
          <w:b/>
          <w:color w:val="000000"/>
          <w:sz w:val="22"/>
        </w:rPr>
        <w:t>3.12 Real-Data Neutral-Drift Calibration on Technical Replicates</w:t>
      </w:r>
    </w:p>
    <w:p>
      <w:r>
        <w:rPr>
          <w:rFonts w:ascii="Arial" w:hAnsi="Arial"/>
          <w:b w:val="0"/>
          <w:color w:val="000000"/>
          <w:sz w:val="22"/>
        </w:rPr>
        <w:t>Purpose and design. Supplementary Note 1 quantifies neutral-drift specificity in simulation; this section repeats the test on real technical replicates, where the ground truth of no functional difference comes from the study design rather than from injected noise. Every metric is calibrated against a per-pair size-matched (n-matched) cell-shuffle null: the nuclei of the two libraries being compared are pooled, permuted, and re-split into disjoint subsets of exactly the observed group sizes (n_a, n_b), so the null matches donor, cell type, and group sizes while containing no group structure (B = 200 per pair for Kang; 100/30/30 for brain tiers T1/T2/T3). Calibration is the ratio observed / null median; the false-positive element is observed &gt; own null 95th percentile. Two designs are used. (i) Kang et al. batch 1 (GSE96583): eight unstimulated PBMC donors captured across three 10x lanes such that every donor appears in exactly two lanes, yielding 30 same-donor, same-condition cross-lane pairs (pure technical drift) across six cell types, evaluated with the per-pair top-200 scheme for k_n, k_f, ω, raw JS, and cosine distance. (ii) The Siletti et al. brain atlas drift ladder: 2,732 (cell class, library) groups with at least 20 nuclei, nested in 606 libraries, define three tiers of library-level pairs within each cell class - T1, same (donor, region) different libraries, all 2,161 pairs (pure technical drift); T2, same region different donors, 1,089 pairs (technical plus inter-individual drift); T3, same donor different regions, 1,656 pairs (regional biology, positive control) - evaluated with the brain pipeline (HK genes plus top-5,000 non-HK genes by mean expression; per-pair top-200 selection) for seven metrics: k_n, k_f, ω, raw JS, cosine distance, Spearman distance (1 - ρ), and marker Jaccard distance (1 minus the Jaccard index of each group’s top-200 markers, genes ranked by pseudobulk difference minus the cell-weighted background of the other cell classes). Scripts: notebooks/nc49_pilot_kang_techrep.py (seed 20260918), notebooks/nc49_brain_drift_ladder.py (seed 42); outputs: results/nc49_pilot_kang_techrep.csv, results/nc49_brain_drift_ladder.csv.</w:t>
      </w:r>
    </w:p>
    <w:p>
      <w:r>
        <w:rPr>
          <w:rFonts w:ascii="Arial" w:hAnsi="Arial"/>
          <w:b w:val="0"/>
          <w:color w:val="000000"/>
          <w:sz w:val="22"/>
        </w:rPr>
        <w:t>Kang batch 1 (technical replicates). ω was fully calibrated: no pair exceeded its own null 95th percentile (0 of 30, Wilson 95% CI [0.000, 0.114]), with a median calibration ratio of 0.963 (IQR [0.918, 0.998]); k_f alone was equally calibrated (0 of 30). Raw JS misreported 11 of 30 pairs (36.7%, CI [0.219, 0.545]) and cosine distance 7 of 30 (23.3%, CI [0.118, 0.409]) as divergence; k_n alone fired once (1 of 30). The per-metric values are given in Table (Section 3.12a); the replication is shown in main-text Fig. 4d.</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Arial" w:hAnsi="Arial"/>
                <w:b/>
                <w:sz w:val="18"/>
              </w:rPr>
              <w:t>Metric</w:t>
            </w:r>
          </w:p>
        </w:tc>
        <w:tc>
          <w:tcPr>
            <w:tcW w:type="dxa" w:w="2351"/>
          </w:tcPr>
          <w:p>
            <w:r>
              <w:rPr>
                <w:rFonts w:ascii="Arial" w:hAnsi="Arial"/>
                <w:b/>
                <w:sz w:val="18"/>
              </w:rPr>
              <w:t>Calibration median [IQR]</w:t>
            </w:r>
          </w:p>
        </w:tc>
        <w:tc>
          <w:tcPr>
            <w:tcW w:type="dxa" w:w="2351"/>
          </w:tcPr>
          <w:p>
            <w:r>
              <w:rPr>
                <w:rFonts w:ascii="Arial" w:hAnsi="Arial"/>
                <w:b/>
                <w:sz w:val="18"/>
              </w:rPr>
              <w:t>FPR (k/n)</w:t>
            </w:r>
          </w:p>
        </w:tc>
        <w:tc>
          <w:tcPr>
            <w:tcW w:type="dxa" w:w="2351"/>
          </w:tcPr>
          <w:p>
            <w:r>
              <w:rPr>
                <w:rFonts w:ascii="Arial" w:hAnsi="Arial"/>
                <w:b/>
                <w:sz w:val="18"/>
              </w:rPr>
              <w:t>Wilson 95% CI</w:t>
            </w:r>
          </w:p>
        </w:tc>
      </w:tr>
      <w:tr>
        <w:tc>
          <w:tcPr>
            <w:tcW w:type="dxa" w:w="2351"/>
          </w:tcPr>
          <w:p>
            <w:r>
              <w:rPr>
                <w:rFonts w:ascii="Arial" w:hAnsi="Arial"/>
                <w:sz w:val="18"/>
              </w:rPr>
              <w:t>k_n</w:t>
            </w:r>
          </w:p>
        </w:tc>
        <w:tc>
          <w:tcPr>
            <w:tcW w:type="dxa" w:w="2351"/>
          </w:tcPr>
          <w:p>
            <w:r>
              <w:rPr>
                <w:rFonts w:ascii="Arial" w:hAnsi="Arial"/>
                <w:sz w:val="18"/>
              </w:rPr>
              <w:t>0.993 [0.949, 1.030]</w:t>
            </w:r>
          </w:p>
        </w:tc>
        <w:tc>
          <w:tcPr>
            <w:tcW w:type="dxa" w:w="2351"/>
          </w:tcPr>
          <w:p>
            <w:r>
              <w:rPr>
                <w:rFonts w:ascii="Arial" w:hAnsi="Arial"/>
                <w:sz w:val="18"/>
              </w:rPr>
              <w:t>1/30</w:t>
            </w:r>
          </w:p>
        </w:tc>
        <w:tc>
          <w:tcPr>
            <w:tcW w:type="dxa" w:w="2351"/>
          </w:tcPr>
          <w:p>
            <w:r>
              <w:rPr>
                <w:rFonts w:ascii="Arial" w:hAnsi="Arial"/>
                <w:sz w:val="18"/>
              </w:rPr>
              <w:t>[0.006, 0.167]</w:t>
            </w:r>
          </w:p>
        </w:tc>
      </w:tr>
      <w:tr>
        <w:tc>
          <w:tcPr>
            <w:tcW w:type="dxa" w:w="2351"/>
          </w:tcPr>
          <w:p>
            <w:r>
              <w:rPr>
                <w:rFonts w:ascii="Arial" w:hAnsi="Arial"/>
                <w:sz w:val="18"/>
              </w:rPr>
              <w:t>k_f</w:t>
            </w:r>
          </w:p>
        </w:tc>
        <w:tc>
          <w:tcPr>
            <w:tcW w:type="dxa" w:w="2351"/>
          </w:tcPr>
          <w:p>
            <w:r>
              <w:rPr>
                <w:rFonts w:ascii="Arial" w:hAnsi="Arial"/>
                <w:sz w:val="18"/>
              </w:rPr>
              <w:t>0.936 [0.908, 0.977]</w:t>
            </w:r>
          </w:p>
        </w:tc>
        <w:tc>
          <w:tcPr>
            <w:tcW w:type="dxa" w:w="2351"/>
          </w:tcPr>
          <w:p>
            <w:r>
              <w:rPr>
                <w:rFonts w:ascii="Arial" w:hAnsi="Arial"/>
                <w:sz w:val="18"/>
              </w:rPr>
              <w:t>0/30</w:t>
            </w:r>
          </w:p>
        </w:tc>
        <w:tc>
          <w:tcPr>
            <w:tcW w:type="dxa" w:w="2351"/>
          </w:tcPr>
          <w:p>
            <w:r>
              <w:rPr>
                <w:rFonts w:ascii="Arial" w:hAnsi="Arial"/>
                <w:sz w:val="18"/>
              </w:rPr>
              <w:t>[0.000, 0.114]</w:t>
            </w:r>
          </w:p>
        </w:tc>
      </w:tr>
      <w:tr>
        <w:tc>
          <w:tcPr>
            <w:tcW w:type="dxa" w:w="2351"/>
          </w:tcPr>
          <w:p>
            <w:r>
              <w:rPr>
                <w:rFonts w:ascii="Arial" w:hAnsi="Arial"/>
                <w:sz w:val="18"/>
              </w:rPr>
              <w:t>ω</w:t>
            </w:r>
          </w:p>
        </w:tc>
        <w:tc>
          <w:tcPr>
            <w:tcW w:type="dxa" w:w="2351"/>
          </w:tcPr>
          <w:p>
            <w:r>
              <w:rPr>
                <w:rFonts w:ascii="Arial" w:hAnsi="Arial"/>
                <w:sz w:val="18"/>
              </w:rPr>
              <w:t>0.963 [0.918, 0.998]</w:t>
            </w:r>
          </w:p>
        </w:tc>
        <w:tc>
          <w:tcPr>
            <w:tcW w:type="dxa" w:w="2351"/>
          </w:tcPr>
          <w:p>
            <w:r>
              <w:rPr>
                <w:rFonts w:ascii="Arial" w:hAnsi="Arial"/>
                <w:sz w:val="18"/>
              </w:rPr>
              <w:t>0/30</w:t>
            </w:r>
          </w:p>
        </w:tc>
        <w:tc>
          <w:tcPr>
            <w:tcW w:type="dxa" w:w="2351"/>
          </w:tcPr>
          <w:p>
            <w:r>
              <w:rPr>
                <w:rFonts w:ascii="Arial" w:hAnsi="Arial"/>
                <w:sz w:val="18"/>
              </w:rPr>
              <w:t>[0.000, 0.114]</w:t>
            </w:r>
          </w:p>
        </w:tc>
      </w:tr>
      <w:tr>
        <w:tc>
          <w:tcPr>
            <w:tcW w:type="dxa" w:w="2351"/>
          </w:tcPr>
          <w:p>
            <w:r>
              <w:rPr>
                <w:rFonts w:ascii="Arial" w:hAnsi="Arial"/>
                <w:sz w:val="18"/>
              </w:rPr>
              <w:t>raw JS</w:t>
            </w:r>
          </w:p>
        </w:tc>
        <w:tc>
          <w:tcPr>
            <w:tcW w:type="dxa" w:w="2351"/>
          </w:tcPr>
          <w:p>
            <w:r>
              <w:rPr>
                <w:rFonts w:ascii="Arial" w:hAnsi="Arial"/>
                <w:sz w:val="18"/>
              </w:rPr>
              <w:t>1.019 [0.991, 1.077]</w:t>
            </w:r>
          </w:p>
        </w:tc>
        <w:tc>
          <w:tcPr>
            <w:tcW w:type="dxa" w:w="2351"/>
          </w:tcPr>
          <w:p>
            <w:r>
              <w:rPr>
                <w:rFonts w:ascii="Arial" w:hAnsi="Arial"/>
                <w:sz w:val="18"/>
              </w:rPr>
              <w:t>11/30</w:t>
            </w:r>
          </w:p>
        </w:tc>
        <w:tc>
          <w:tcPr>
            <w:tcW w:type="dxa" w:w="2351"/>
          </w:tcPr>
          <w:p>
            <w:r>
              <w:rPr>
                <w:rFonts w:ascii="Arial" w:hAnsi="Arial"/>
                <w:sz w:val="18"/>
              </w:rPr>
              <w:t>[0.219, 0.545]</w:t>
            </w:r>
          </w:p>
        </w:tc>
      </w:tr>
      <w:tr>
        <w:tc>
          <w:tcPr>
            <w:tcW w:type="dxa" w:w="2351"/>
          </w:tcPr>
          <w:p>
            <w:r>
              <w:rPr>
                <w:rFonts w:ascii="Arial" w:hAnsi="Arial"/>
                <w:sz w:val="18"/>
              </w:rPr>
              <w:t>cosine</w:t>
            </w:r>
          </w:p>
        </w:tc>
        <w:tc>
          <w:tcPr>
            <w:tcW w:type="dxa" w:w="2351"/>
          </w:tcPr>
          <w:p>
            <w:r>
              <w:rPr>
                <w:rFonts w:ascii="Arial" w:hAnsi="Arial"/>
                <w:sz w:val="18"/>
              </w:rPr>
              <w:t>1.006 [0.993, 1.025]</w:t>
            </w:r>
          </w:p>
        </w:tc>
        <w:tc>
          <w:tcPr>
            <w:tcW w:type="dxa" w:w="2351"/>
          </w:tcPr>
          <w:p>
            <w:r>
              <w:rPr>
                <w:rFonts w:ascii="Arial" w:hAnsi="Arial"/>
                <w:sz w:val="18"/>
              </w:rPr>
              <w:t>7/30</w:t>
            </w:r>
          </w:p>
        </w:tc>
        <w:tc>
          <w:tcPr>
            <w:tcW w:type="dxa" w:w="2351"/>
          </w:tcPr>
          <w:p>
            <w:r>
              <w:rPr>
                <w:rFonts w:ascii="Arial" w:hAnsi="Arial"/>
                <w:sz w:val="18"/>
              </w:rPr>
              <w:t>[0.118, 0.409]</w:t>
            </w:r>
          </w:p>
        </w:tc>
      </w:tr>
    </w:tbl>
    <w:p>
      <w:r>
        <w:rPr>
          <w:rFonts w:ascii="Arial" w:hAnsi="Arial"/>
          <w:b w:val="0"/>
          <w:color w:val="000000"/>
          <w:sz w:val="22"/>
        </w:rPr>
        <w:t>Table (Section 3.12a). Kang batch 1, 30 same-donor, same-condition cross-lane pairs. Calibration = observed / own n-matched null median (B = 200 per pair); FPR = fraction of pairs whose observed value exceeds its own null 95th percentile. The Wilson intervals treat the 30 pairs as independent (donor-level clustering is not modeled), so they are optimistic for the cohort-level rate. Cross-metric comparisons on these 30 pairs are paired by design - every metric is evaluated on the identical pairs against the identical per-pair nulls - so FPR differences are within-pair contrasts (a McNemar-style paired framing applies to any cross-metric test).</w:t>
      </w:r>
    </w:p>
    <w:p>
      <w:r>
        <w:rPr>
          <w:rFonts w:ascii="Arial" w:hAnsi="Arial"/>
          <w:b w:val="0"/>
          <w:color w:val="000000"/>
          <w:sz w:val="22"/>
        </w:rPr>
        <w:t>Brain drift ladder. On T1 (pure technical drift), ω had the lowest misreporting rate among the continuous divergence metrics (FPR 28.6%, versus 45.2% for raw JS, 44.1% for cosine, 40.6% for Spearman, 37.6% for k_f, and 35.7% for k_n), and ω was below raw JS in 10 of 10 cell classes (below cosine in 9 of 10, below Spearman in 8 of 10; per-class raw-JS-to-ω FPR ratios 1.2-2.3). Marker Jaccard distance was lower still (T1 FPR 19.9%, below ω in 10 of 10 cell classes): judged on the false-positive statistic alone, it separates the tiers at least as well as ω (T3−T1 FPR gap 0.60 versus 0.56; T3/T1 ratio 4.0 versus 3.0), so the misreporting claim for ω is restricted to the continuous divergence metrics. At T2 (donor drift), all metrics fired on most pairs - donor differences contain real biology - and ω again misreported least among the continuous divergence metrics (90.9% versus 98.4% for raw JS and 98.7% for k_f; marker Jaccard was again lower at 74.7%; calibration 1.76 versus 3.32 and 3.22). At T3 (regional biology, positive control), every metric rose (ω calibration 1.80; raw JS 2.98), so sensitivity to genuine divergence is preserved; across the ladder the ω calibration gradient is the shallowest of all metrics (1.04 → 1.76 → 1.80, versus 1.07 → 3.32 → 2.98 for raw JS). The advantage of ω over marker Jaccard lies elsewhere: Jaccard responds weakest to genuine regional divergence (T3 calibration 1.41 versus 1.80 for ω and 2.98 for raw JS), so its apparent specificity is purchased with the weakest sensitivity to real signal, and as a single set-overlap statistic it offers no k_n/k_f decomposition. Per-tier values for all seven metrics are given in Table (Section 3.12b); main-text Fig. 4b,c.</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Arial" w:hAnsi="Arial"/>
                <w:b/>
                <w:sz w:val="18"/>
              </w:rPr>
              <w:t>Metric</w:t>
            </w:r>
          </w:p>
        </w:tc>
        <w:tc>
          <w:tcPr>
            <w:tcW w:type="dxa" w:w="2351"/>
          </w:tcPr>
          <w:p>
            <w:r>
              <w:rPr>
                <w:rFonts w:ascii="Arial" w:hAnsi="Arial"/>
                <w:b/>
                <w:sz w:val="18"/>
              </w:rPr>
              <w:t>T1 cal [IQR] / FPR</w:t>
            </w:r>
          </w:p>
        </w:tc>
        <w:tc>
          <w:tcPr>
            <w:tcW w:type="dxa" w:w="2351"/>
          </w:tcPr>
          <w:p>
            <w:r>
              <w:rPr>
                <w:rFonts w:ascii="Arial" w:hAnsi="Arial"/>
                <w:b/>
                <w:sz w:val="18"/>
              </w:rPr>
              <w:t>T2 cal [IQR] / FPR</w:t>
            </w:r>
          </w:p>
        </w:tc>
        <w:tc>
          <w:tcPr>
            <w:tcW w:type="dxa" w:w="2351"/>
          </w:tcPr>
          <w:p>
            <w:r>
              <w:rPr>
                <w:rFonts w:ascii="Arial" w:hAnsi="Arial"/>
                <w:b/>
                <w:sz w:val="18"/>
              </w:rPr>
              <w:t>T3 cal [IQR] / FPR</w:t>
            </w:r>
          </w:p>
        </w:tc>
      </w:tr>
      <w:tr>
        <w:tc>
          <w:tcPr>
            <w:tcW w:type="dxa" w:w="2351"/>
          </w:tcPr>
          <w:p>
            <w:r>
              <w:rPr>
                <w:rFonts w:ascii="Arial" w:hAnsi="Arial"/>
                <w:sz w:val="18"/>
              </w:rPr>
              <w:t>k_n</w:t>
            </w:r>
          </w:p>
        </w:tc>
        <w:tc>
          <w:tcPr>
            <w:tcW w:type="dxa" w:w="2351"/>
          </w:tcPr>
          <w:p>
            <w:r>
              <w:rPr>
                <w:rFonts w:ascii="Arial" w:hAnsi="Arial"/>
                <w:sz w:val="18"/>
              </w:rPr>
              <w:t>1.05 [0.99, 1.17] / 35.7%</w:t>
            </w:r>
          </w:p>
        </w:tc>
        <w:tc>
          <w:tcPr>
            <w:tcW w:type="dxa" w:w="2351"/>
          </w:tcPr>
          <w:p>
            <w:r>
              <w:rPr>
                <w:rFonts w:ascii="Arial" w:hAnsi="Arial"/>
                <w:sz w:val="18"/>
              </w:rPr>
              <w:t>1.69 [1.21, 2.98] / 88.6%</w:t>
            </w:r>
          </w:p>
        </w:tc>
        <w:tc>
          <w:tcPr>
            <w:tcW w:type="dxa" w:w="2351"/>
          </w:tcPr>
          <w:p>
            <w:r>
              <w:rPr>
                <w:rFonts w:ascii="Arial" w:hAnsi="Arial"/>
                <w:sz w:val="18"/>
              </w:rPr>
              <w:t>1.49 [1.19, 2.15] / 84.8%</w:t>
            </w:r>
          </w:p>
        </w:tc>
      </w:tr>
      <w:tr>
        <w:tc>
          <w:tcPr>
            <w:tcW w:type="dxa" w:w="2351"/>
          </w:tcPr>
          <w:p>
            <w:r>
              <w:rPr>
                <w:rFonts w:ascii="Arial" w:hAnsi="Arial"/>
                <w:sz w:val="18"/>
              </w:rPr>
              <w:t>k_f</w:t>
            </w:r>
          </w:p>
        </w:tc>
        <w:tc>
          <w:tcPr>
            <w:tcW w:type="dxa" w:w="2351"/>
          </w:tcPr>
          <w:p>
            <w:r>
              <w:rPr>
                <w:rFonts w:ascii="Arial" w:hAnsi="Arial"/>
                <w:sz w:val="18"/>
              </w:rPr>
              <w:t>1.05 [0.99, 1.43] / 37.6%</w:t>
            </w:r>
          </w:p>
        </w:tc>
        <w:tc>
          <w:tcPr>
            <w:tcW w:type="dxa" w:w="2351"/>
          </w:tcPr>
          <w:p>
            <w:r>
              <w:rPr>
                <w:rFonts w:ascii="Arial" w:hAnsi="Arial"/>
                <w:sz w:val="18"/>
              </w:rPr>
              <w:t>3.22 [1.85, 7.06] / 98.7%</w:t>
            </w:r>
          </w:p>
        </w:tc>
        <w:tc>
          <w:tcPr>
            <w:tcW w:type="dxa" w:w="2351"/>
          </w:tcPr>
          <w:p>
            <w:r>
              <w:rPr>
                <w:rFonts w:ascii="Arial" w:hAnsi="Arial"/>
                <w:sz w:val="18"/>
              </w:rPr>
              <w:t>2.88 [1.76, 5.67] / 94.2%</w:t>
            </w:r>
          </w:p>
        </w:tc>
      </w:tr>
      <w:tr>
        <w:tc>
          <w:tcPr>
            <w:tcW w:type="dxa" w:w="2351"/>
          </w:tcPr>
          <w:p>
            <w:r>
              <w:rPr>
                <w:rFonts w:ascii="Arial" w:hAnsi="Arial"/>
                <w:sz w:val="18"/>
              </w:rPr>
              <w:t>ω</w:t>
            </w:r>
          </w:p>
        </w:tc>
        <w:tc>
          <w:tcPr>
            <w:tcW w:type="dxa" w:w="2351"/>
          </w:tcPr>
          <w:p>
            <w:r>
              <w:rPr>
                <w:rFonts w:ascii="Arial" w:hAnsi="Arial"/>
                <w:sz w:val="18"/>
              </w:rPr>
              <w:t>1.04 [0.97, 1.21] / 28.6%</w:t>
            </w:r>
          </w:p>
        </w:tc>
        <w:tc>
          <w:tcPr>
            <w:tcW w:type="dxa" w:w="2351"/>
          </w:tcPr>
          <w:p>
            <w:r>
              <w:rPr>
                <w:rFonts w:ascii="Arial" w:hAnsi="Arial"/>
                <w:sz w:val="18"/>
              </w:rPr>
              <w:t>1.76 [1.38, 2.49] / 90.9%</w:t>
            </w:r>
          </w:p>
        </w:tc>
        <w:tc>
          <w:tcPr>
            <w:tcW w:type="dxa" w:w="2351"/>
          </w:tcPr>
          <w:p>
            <w:r>
              <w:rPr>
                <w:rFonts w:ascii="Arial" w:hAnsi="Arial"/>
                <w:sz w:val="18"/>
              </w:rPr>
              <w:t>1.80 [1.34, 2.79] / 84.8%</w:t>
            </w:r>
          </w:p>
        </w:tc>
      </w:tr>
      <w:tr>
        <w:tc>
          <w:tcPr>
            <w:tcW w:type="dxa" w:w="2351"/>
          </w:tcPr>
          <w:p>
            <w:r>
              <w:rPr>
                <w:rFonts w:ascii="Arial" w:hAnsi="Arial"/>
                <w:sz w:val="18"/>
              </w:rPr>
              <w:t>raw JS</w:t>
            </w:r>
          </w:p>
        </w:tc>
        <w:tc>
          <w:tcPr>
            <w:tcW w:type="dxa" w:w="2351"/>
          </w:tcPr>
          <w:p>
            <w:r>
              <w:rPr>
                <w:rFonts w:ascii="Arial" w:hAnsi="Arial"/>
                <w:sz w:val="18"/>
              </w:rPr>
              <w:t>1.07 [1.01, 1.52] / 45.2%</w:t>
            </w:r>
          </w:p>
        </w:tc>
        <w:tc>
          <w:tcPr>
            <w:tcW w:type="dxa" w:w="2351"/>
          </w:tcPr>
          <w:p>
            <w:r>
              <w:rPr>
                <w:rFonts w:ascii="Arial" w:hAnsi="Arial"/>
                <w:sz w:val="18"/>
              </w:rPr>
              <w:t>3.32 [1.87, 7.44] / 98.4%</w:t>
            </w:r>
          </w:p>
        </w:tc>
        <w:tc>
          <w:tcPr>
            <w:tcW w:type="dxa" w:w="2351"/>
          </w:tcPr>
          <w:p>
            <w:r>
              <w:rPr>
                <w:rFonts w:ascii="Arial" w:hAnsi="Arial"/>
                <w:sz w:val="18"/>
              </w:rPr>
              <w:t>2.98 [1.90, 6.14] / 96.8%</w:t>
            </w:r>
          </w:p>
        </w:tc>
      </w:tr>
      <w:tr>
        <w:tc>
          <w:tcPr>
            <w:tcW w:type="dxa" w:w="2351"/>
          </w:tcPr>
          <w:p>
            <w:r>
              <w:rPr>
                <w:rFonts w:ascii="Arial" w:hAnsi="Arial"/>
                <w:sz w:val="18"/>
              </w:rPr>
              <w:t>cosine</w:t>
            </w:r>
          </w:p>
        </w:tc>
        <w:tc>
          <w:tcPr>
            <w:tcW w:type="dxa" w:w="2351"/>
          </w:tcPr>
          <w:p>
            <w:r>
              <w:rPr>
                <w:rFonts w:ascii="Arial" w:hAnsi="Arial"/>
                <w:sz w:val="18"/>
              </w:rPr>
              <w:t>1.04 [1.00, 1.26] / 44.1%</w:t>
            </w:r>
          </w:p>
        </w:tc>
        <w:tc>
          <w:tcPr>
            <w:tcW w:type="dxa" w:w="2351"/>
          </w:tcPr>
          <w:p>
            <w:r>
              <w:rPr>
                <w:rFonts w:ascii="Arial" w:hAnsi="Arial"/>
                <w:sz w:val="18"/>
              </w:rPr>
              <w:t>2.28 [1.42, 4.51] / 97.8%</w:t>
            </w:r>
          </w:p>
        </w:tc>
        <w:tc>
          <w:tcPr>
            <w:tcW w:type="dxa" w:w="2351"/>
          </w:tcPr>
          <w:p>
            <w:r>
              <w:rPr>
                <w:rFonts w:ascii="Arial" w:hAnsi="Arial"/>
                <w:sz w:val="18"/>
              </w:rPr>
              <w:t>2.00 [1.45, 3.60] / 95.5%</w:t>
            </w:r>
          </w:p>
        </w:tc>
      </w:tr>
      <w:tr>
        <w:tc>
          <w:tcPr>
            <w:tcW w:type="dxa" w:w="2351"/>
          </w:tcPr>
          <w:p>
            <w:r>
              <w:rPr>
                <w:rFonts w:ascii="Arial" w:hAnsi="Arial"/>
                <w:sz w:val="18"/>
              </w:rPr>
              <w:t>Spearman</w:t>
            </w:r>
          </w:p>
        </w:tc>
        <w:tc>
          <w:tcPr>
            <w:tcW w:type="dxa" w:w="2351"/>
          </w:tcPr>
          <w:p>
            <w:r>
              <w:rPr>
                <w:rFonts w:ascii="Arial" w:hAnsi="Arial"/>
                <w:sz w:val="18"/>
              </w:rPr>
              <w:t>1.03 [1.00, 1.18] / 40.6%</w:t>
            </w:r>
          </w:p>
        </w:tc>
        <w:tc>
          <w:tcPr>
            <w:tcW w:type="dxa" w:w="2351"/>
          </w:tcPr>
          <w:p>
            <w:r>
              <w:rPr>
                <w:rFonts w:ascii="Arial" w:hAnsi="Arial"/>
                <w:sz w:val="18"/>
              </w:rPr>
              <w:t>1.79 [1.23, 3.12] / 96.4%</w:t>
            </w:r>
          </w:p>
        </w:tc>
        <w:tc>
          <w:tcPr>
            <w:tcW w:type="dxa" w:w="2351"/>
          </w:tcPr>
          <w:p>
            <w:r>
              <w:rPr>
                <w:rFonts w:ascii="Arial" w:hAnsi="Arial"/>
                <w:sz w:val="18"/>
              </w:rPr>
              <w:t>1.57 [1.26, 2.36] / 95.2%</w:t>
            </w:r>
          </w:p>
        </w:tc>
      </w:tr>
      <w:tr>
        <w:tc>
          <w:tcPr>
            <w:tcW w:type="dxa" w:w="2351"/>
          </w:tcPr>
          <w:p>
            <w:r>
              <w:rPr>
                <w:rFonts w:ascii="Arial" w:hAnsi="Arial"/>
                <w:sz w:val="18"/>
              </w:rPr>
              <w:t>marker Jaccard</w:t>
            </w:r>
          </w:p>
        </w:tc>
        <w:tc>
          <w:tcPr>
            <w:tcW w:type="dxa" w:w="2351"/>
          </w:tcPr>
          <w:p>
            <w:r>
              <w:rPr>
                <w:rFonts w:ascii="Arial" w:hAnsi="Arial"/>
                <w:sz w:val="18"/>
              </w:rPr>
              <w:t>1.05 [0.96, 1.21] / 19.9%</w:t>
            </w:r>
          </w:p>
        </w:tc>
        <w:tc>
          <w:tcPr>
            <w:tcW w:type="dxa" w:w="2351"/>
          </w:tcPr>
          <w:p>
            <w:r>
              <w:rPr>
                <w:rFonts w:ascii="Arial" w:hAnsi="Arial"/>
                <w:sz w:val="18"/>
              </w:rPr>
              <w:t>1.39 [1.16, 1.83] / 74.7%</w:t>
            </w:r>
          </w:p>
        </w:tc>
        <w:tc>
          <w:tcPr>
            <w:tcW w:type="dxa" w:w="2351"/>
          </w:tcPr>
          <w:p>
            <w:r>
              <w:rPr>
                <w:rFonts w:ascii="Arial" w:hAnsi="Arial"/>
                <w:sz w:val="18"/>
              </w:rPr>
              <w:t>1.41 [1.19, 1.81] / 80.1%</w:t>
            </w:r>
          </w:p>
        </w:tc>
      </w:tr>
    </w:tbl>
    <w:p>
      <w:r>
        <w:rPr>
          <w:rFonts w:ascii="Arial" w:hAnsi="Arial"/>
          <w:b w:val="0"/>
          <w:color w:val="000000"/>
          <w:sz w:val="22"/>
        </w:rPr>
        <w:t>Table (Section 3.12b). Brain drift ladder, per tier and metric: calibration median [IQR] (observed / own n-matched null median) and FPR (observed &gt; own null 95th percentile). T1: same (donor, region) cross-library pairs, n = 2,161; T2: same region cross-donor pairs, n = 1,089; T3: same donor cross-region pairs, n = 1,656. Per-pair nulls used B = 100 permutations for T1 and B = 30 for T2/T3; at B = 30 the per-pair exceedance indicator resolves to 1/31, so the T2/T3 tier rates carry Monte-Carlo noise of a few percentage points and are tier-level, not per-pair, calibrations. The 200-per-class subsampling cap makes the cell-class composition of T2/T3 availability-dependent, so cross-tier comparisons mix class composition with drift tier; per-class T1 values are discussed in the text.</w:t>
      </w:r>
    </w:p>
    <w:p>
      <w:r>
        <w:rPr>
          <w:rFonts w:ascii="Arial" w:hAnsi="Arial"/>
          <w:b w:val="0"/>
          <w:color w:val="000000"/>
          <w:sz w:val="22"/>
        </w:rPr>
        <w:t>Diagnostics and honest qualifications. First, the absolute ω FPR on T1 is not zero, and it grows with group size: 14.1% for pairs with at most 30 nuclei per library (n = 199), 27.3% for 31-500, and 48.0% above 500 (n = 269; raw JS 28.6% → 72.5%) - a real library-level technical component (capture efficiency, depth) that grows detectable with power and that the k_n denominator absorbs only partially (the T1 k_n calibration itself is 1.05). Second, a minority of cell classes show gene-specific library effects that the anchor cannot absorb: choroid plexus (n = 9 pairs, median calibration 2.31) and Bergmann glia (n = 27, 1.16) exceed the null most strongly; in choroid plexus, two libraries of the same donor, region, and type differ in k_f by up to 137-fold. The ladder thereby quantifies the library-level structure that the block-shuffle null retains by design (Supplementary Note 12): the Bergmann-glia block-shuffle null mean (21.9) lying far above its split-half baseline (9.7) reflects precisely this within-donor, within-region technical divergence. Third, per-pair nulls were used throughout (one null per pair, not one pooled null per class-size bin); the size-binned FPR gradient above is reported precisely to expose the group-size dependence that a pooled null would mask, and small-group p95 estimates are correspondingly noisy at the smallest group sizes. The simulation-level claim of absolute neutral-drift immunity (Supplementary Note 1) thus transfers to real data only as a relative-calibration advantage: lowest misreporting among the continuous divergence metrics at every tier, with sensitivity to genuine regional divergence preserved.</w:t>
      </w:r>
    </w:p>
    <w:p>
      <w:r>
        <w:rPr>
          <w:rFonts w:ascii="Arial" w:hAnsi="Arial"/>
          <w:b/>
          <w:color w:val="000000"/>
          <w:sz w:val="22"/>
        </w:rPr>
        <w:t>3.13 Per-Sample Divergence and Group Statistics for TCGA</w:t>
      </w:r>
    </w:p>
    <w:p>
      <w:r>
        <w:rPr>
          <w:rFonts w:ascii="Arial" w:hAnsi="Arial"/>
          <w:b w:val="0"/>
          <w:color w:val="000000"/>
          <w:sz w:val="22"/>
        </w:rPr>
        <w:t>Purpose and design. The main-text TCGA analysis (Results: A pan-cancer map of tissue-level divergence in tumors; Methods: Per-sample divergence and group statistics) ranks cancer types by the NN/TT ratio of mean ω, stratifies LUAD tumors by driver mutation, and tests survival association in LIHC. This section reports the full group statistics behind those claims. Per-tumor statistics are the mean of ω, k_f, and k_n over all pairs in the linear-normalization pair table (35,306 pairs; authoritative file: results/tcga_linear_norm_v44_all_pairs.csv) in which a sample participates; per-sample values are not archived as a separate file and are rebuilt from that pair table plus the cBioPortal mutation labels by notebooks/nc49_tcga_main.py (Reproducibility Guide, Section 5.10c). Group-level ratios carry sample-level cluster bootstrap 95% CIs (B = 1,000; seed 42; tumor and normal samples resampled with replacement independently, each pair reweighted by the product of its endpoint resampling weights). LUAD driver groups (61 EGFR, 120 KRAS, 311 wild-type; 2 double mutants excluded) were tested with Kruskal-Wallis followed by Dunn post-hoc tests with Holm correction (manual implementation, tie-corrected rank variances); group mean differences carry within-group bootstrap 95% CIs (B = 1,000). The LIHC survival analysis used Cox proportional-hazards regression (statsmodels PHReg) with per-tumor ω standardized to unit SD (hazard ratios per SD), adjusted for AJCC stage (I-IV), Edmondson grade (G1-G4), age, and sex (listwise deletion of missing covariates), with k_f-only, k_n-only, and tumor-normal-ω exposures as sensitivity models. Covariate sensitivity used the official ESTIMATE stromal (141) and immune (141) gene sets (rank-based single-sample enrichment; combined stromal-plus-immune score, monotonically equivalent to published ESTIMATE purity) and cBioPortal patient-level LUAD clinical data (study luad_tcga; smoking status 508, pack-years 356, sex 522 patients; 427 of 492 tumors with known smoking status, 87%). Scripts: notebooks/nc49_tcga_main.py (seed 42), notebooks/nc49_pilot_lihc_cox.py, notebooks/nc49_tcga_purity.py, notebooks/nc49_tcga_luad_smoking.py, notebooks/nc49_tcga_kf_composition.py; outputs: results/nc49_tcga_pancancer.csv, results/nc49_tcga_luad_mutation.csv, results/nc49_pilot_lihc_cox.csv, results/nc49_tcga_purity.csv, results/nc49_tcga_admix_scores.csv, results/nc49_tcga_luad_smoking.csv, results/nc49_tcga_kf_composition.csv.</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Cancer</w:t>
            </w:r>
          </w:p>
        </w:tc>
        <w:tc>
          <w:tcPr>
            <w:tcW w:type="dxa" w:w="1881"/>
          </w:tcPr>
          <w:p>
            <w:r>
              <w:rPr>
                <w:rFonts w:ascii="Arial" w:hAnsi="Arial"/>
                <w:b/>
                <w:sz w:val="18"/>
              </w:rPr>
              <w:t>NN/TT ω ratio [95% CI]</w:t>
            </w:r>
          </w:p>
        </w:tc>
        <w:tc>
          <w:tcPr>
            <w:tcW w:type="dxa" w:w="1881"/>
          </w:tcPr>
          <w:p>
            <w:r>
              <w:rPr>
                <w:rFonts w:ascii="Arial" w:hAnsi="Arial"/>
                <w:b/>
                <w:sz w:val="18"/>
              </w:rPr>
              <w:t>MWU P</w:t>
            </w:r>
          </w:p>
        </w:tc>
        <w:tc>
          <w:tcPr>
            <w:tcW w:type="dxa" w:w="1881"/>
          </w:tcPr>
          <w:p>
            <w:r>
              <w:rPr>
                <w:rFonts w:ascii="Arial" w:hAnsi="Arial"/>
                <w:b/>
                <w:sz w:val="18"/>
              </w:rPr>
              <w:t>k_n TT/NN median</w:t>
            </w:r>
          </w:p>
        </w:tc>
        <w:tc>
          <w:tcPr>
            <w:tcW w:type="dxa" w:w="1881"/>
          </w:tcPr>
          <w:p>
            <w:r>
              <w:rPr>
                <w:rFonts w:ascii="Arial" w:hAnsi="Arial"/>
                <w:b/>
                <w:sz w:val="18"/>
              </w:rPr>
              <w:t>k_n mean ratio [95% CI]</w:t>
            </w:r>
          </w:p>
        </w:tc>
      </w:tr>
      <w:tr>
        <w:tc>
          <w:tcPr>
            <w:tcW w:type="dxa" w:w="1881"/>
          </w:tcPr>
          <w:p>
            <w:r>
              <w:rPr>
                <w:rFonts w:ascii="Arial" w:hAnsi="Arial"/>
                <w:sz w:val="18"/>
              </w:rPr>
              <w:t>LUAD</w:t>
            </w:r>
          </w:p>
        </w:tc>
        <w:tc>
          <w:tcPr>
            <w:tcW w:type="dxa" w:w="1881"/>
          </w:tcPr>
          <w:p>
            <w:r>
              <w:rPr>
                <w:rFonts w:ascii="Arial" w:hAnsi="Arial"/>
                <w:sz w:val="18"/>
              </w:rPr>
              <w:t>2.46 [2.13, 2.86]</w:t>
            </w:r>
          </w:p>
        </w:tc>
        <w:tc>
          <w:tcPr>
            <w:tcW w:type="dxa" w:w="1881"/>
          </w:tcPr>
          <w:p>
            <w:r>
              <w:rPr>
                <w:rFonts w:ascii="Arial" w:hAnsi="Arial"/>
                <w:sz w:val="18"/>
              </w:rPr>
              <w:t>&lt; 10⁻³⁰⁰</w:t>
            </w:r>
          </w:p>
        </w:tc>
        <w:tc>
          <w:tcPr>
            <w:tcW w:type="dxa" w:w="1881"/>
          </w:tcPr>
          <w:p>
            <w:r>
              <w:rPr>
                <w:rFonts w:ascii="Arial" w:hAnsi="Arial"/>
                <w:sz w:val="18"/>
              </w:rPr>
              <w:t>2.6×</w:t>
            </w:r>
          </w:p>
        </w:tc>
        <w:tc>
          <w:tcPr>
            <w:tcW w:type="dxa" w:w="1881"/>
          </w:tcPr>
          <w:p>
            <w:r>
              <w:rPr>
                <w:rFonts w:ascii="Arial" w:hAnsi="Arial"/>
                <w:sz w:val="18"/>
              </w:rPr>
              <w:t>2.55 [2.09, 3.31]</w:t>
            </w:r>
          </w:p>
        </w:tc>
      </w:tr>
      <w:tr>
        <w:tc>
          <w:tcPr>
            <w:tcW w:type="dxa" w:w="1881"/>
          </w:tcPr>
          <w:p>
            <w:r>
              <w:rPr>
                <w:rFonts w:ascii="Arial" w:hAnsi="Arial"/>
                <w:sz w:val="18"/>
              </w:rPr>
              <w:t>KIRC</w:t>
            </w:r>
          </w:p>
        </w:tc>
        <w:tc>
          <w:tcPr>
            <w:tcW w:type="dxa" w:w="1881"/>
          </w:tcPr>
          <w:p>
            <w:r>
              <w:rPr>
                <w:rFonts w:ascii="Arial" w:hAnsi="Arial"/>
                <w:sz w:val="18"/>
              </w:rPr>
              <w:t>1.88 [1.63, 2.16]</w:t>
            </w:r>
          </w:p>
        </w:tc>
        <w:tc>
          <w:tcPr>
            <w:tcW w:type="dxa" w:w="1881"/>
          </w:tcPr>
          <w:p>
            <w:r>
              <w:rPr>
                <w:rFonts w:ascii="Arial" w:hAnsi="Arial"/>
                <w:sz w:val="18"/>
              </w:rPr>
              <w:t>1.4×10⁻²³²</w:t>
            </w:r>
          </w:p>
        </w:tc>
        <w:tc>
          <w:tcPr>
            <w:tcW w:type="dxa" w:w="1881"/>
          </w:tcPr>
          <w:p>
            <w:r>
              <w:rPr>
                <w:rFonts w:ascii="Arial" w:hAnsi="Arial"/>
                <w:sz w:val="18"/>
              </w:rPr>
              <w:t>3.6×</w:t>
            </w:r>
          </w:p>
        </w:tc>
        <w:tc>
          <w:tcPr>
            <w:tcW w:type="dxa" w:w="1881"/>
          </w:tcPr>
          <w:p>
            <w:r>
              <w:rPr>
                <w:rFonts w:ascii="Arial" w:hAnsi="Arial"/>
                <w:sz w:val="18"/>
              </w:rPr>
              <w:t>3.29 [2.54, 4.35]</w:t>
            </w:r>
          </w:p>
        </w:tc>
      </w:tr>
      <w:tr>
        <w:tc>
          <w:tcPr>
            <w:tcW w:type="dxa" w:w="1881"/>
          </w:tcPr>
          <w:p>
            <w:r>
              <w:rPr>
                <w:rFonts w:ascii="Arial" w:hAnsi="Arial"/>
                <w:sz w:val="18"/>
              </w:rPr>
              <w:t>LUSC</w:t>
            </w:r>
          </w:p>
        </w:tc>
        <w:tc>
          <w:tcPr>
            <w:tcW w:type="dxa" w:w="1881"/>
          </w:tcPr>
          <w:p>
            <w:r>
              <w:rPr>
                <w:rFonts w:ascii="Arial" w:hAnsi="Arial"/>
                <w:sz w:val="18"/>
              </w:rPr>
              <w:t>1.71 [1.38, 2.09]</w:t>
            </w:r>
          </w:p>
        </w:tc>
        <w:tc>
          <w:tcPr>
            <w:tcW w:type="dxa" w:w="1881"/>
          </w:tcPr>
          <w:p>
            <w:r>
              <w:rPr>
                <w:rFonts w:ascii="Arial" w:hAnsi="Arial"/>
                <w:sz w:val="18"/>
              </w:rPr>
              <w:t>8.4×10⁻⁵⁹</w:t>
            </w:r>
          </w:p>
        </w:tc>
        <w:tc>
          <w:tcPr>
            <w:tcW w:type="dxa" w:w="1881"/>
          </w:tcPr>
          <w:p>
            <w:r>
              <w:rPr>
                <w:rFonts w:ascii="Arial" w:hAnsi="Arial"/>
                <w:sz w:val="18"/>
              </w:rPr>
              <w:t>2.5×</w:t>
            </w:r>
          </w:p>
        </w:tc>
        <w:tc>
          <w:tcPr>
            <w:tcW w:type="dxa" w:w="1881"/>
          </w:tcPr>
          <w:p>
            <w:r>
              <w:rPr>
                <w:rFonts w:ascii="Arial" w:hAnsi="Arial"/>
                <w:sz w:val="18"/>
              </w:rPr>
              <w:t>1.89 [1.46, 2.59]</w:t>
            </w:r>
          </w:p>
        </w:tc>
      </w:tr>
      <w:tr>
        <w:tc>
          <w:tcPr>
            <w:tcW w:type="dxa" w:w="1881"/>
          </w:tcPr>
          <w:p>
            <w:r>
              <w:rPr>
                <w:rFonts w:ascii="Arial" w:hAnsi="Arial"/>
                <w:sz w:val="18"/>
              </w:rPr>
              <w:t>BRCA</w:t>
            </w:r>
          </w:p>
        </w:tc>
        <w:tc>
          <w:tcPr>
            <w:tcW w:type="dxa" w:w="1881"/>
          </w:tcPr>
          <w:p>
            <w:r>
              <w:rPr>
                <w:rFonts w:ascii="Arial" w:hAnsi="Arial"/>
                <w:sz w:val="18"/>
              </w:rPr>
              <w:t>1.57 [1.34, 1.84]</w:t>
            </w:r>
          </w:p>
        </w:tc>
        <w:tc>
          <w:tcPr>
            <w:tcW w:type="dxa" w:w="1881"/>
          </w:tcPr>
          <w:p>
            <w:r>
              <w:rPr>
                <w:rFonts w:ascii="Arial" w:hAnsi="Arial"/>
                <w:sz w:val="18"/>
              </w:rPr>
              <w:t>3.3×10⁻⁴²</w:t>
            </w:r>
          </w:p>
        </w:tc>
        <w:tc>
          <w:tcPr>
            <w:tcW w:type="dxa" w:w="1881"/>
          </w:tcPr>
          <w:p>
            <w:r>
              <w:rPr>
                <w:rFonts w:ascii="Arial" w:hAnsi="Arial"/>
                <w:sz w:val="18"/>
              </w:rPr>
              <w:t>2.8×</w:t>
            </w:r>
          </w:p>
        </w:tc>
        <w:tc>
          <w:tcPr>
            <w:tcW w:type="dxa" w:w="1881"/>
          </w:tcPr>
          <w:p>
            <w:r>
              <w:rPr>
                <w:rFonts w:ascii="Arial" w:hAnsi="Arial"/>
                <w:sz w:val="18"/>
              </w:rPr>
              <w:t>2.27 [1.83, 2.91]</w:t>
            </w:r>
          </w:p>
        </w:tc>
      </w:tr>
      <w:tr>
        <w:tc>
          <w:tcPr>
            <w:tcW w:type="dxa" w:w="1881"/>
          </w:tcPr>
          <w:p>
            <w:r>
              <w:rPr>
                <w:rFonts w:ascii="Arial" w:hAnsi="Arial"/>
                <w:sz w:val="18"/>
              </w:rPr>
              <w:t>LIHC</w:t>
            </w:r>
          </w:p>
        </w:tc>
        <w:tc>
          <w:tcPr>
            <w:tcW w:type="dxa" w:w="1881"/>
          </w:tcPr>
          <w:p>
            <w:r>
              <w:rPr>
                <w:rFonts w:ascii="Arial" w:hAnsi="Arial"/>
                <w:sz w:val="18"/>
              </w:rPr>
              <w:t>1.10 [0.93, 1.29]</w:t>
            </w:r>
          </w:p>
        </w:tc>
        <w:tc>
          <w:tcPr>
            <w:tcW w:type="dxa" w:w="1881"/>
          </w:tcPr>
          <w:p>
            <w:r>
              <w:rPr>
                <w:rFonts w:ascii="Arial" w:hAnsi="Arial"/>
                <w:sz w:val="18"/>
              </w:rPr>
              <w:t>0.19</w:t>
            </w:r>
          </w:p>
        </w:tc>
        <w:tc>
          <w:tcPr>
            <w:tcW w:type="dxa" w:w="1881"/>
          </w:tcPr>
          <w:p>
            <w:r>
              <w:rPr>
                <w:rFonts w:ascii="Arial" w:hAnsi="Arial"/>
                <w:sz w:val="18"/>
              </w:rPr>
              <w:t>2.1×</w:t>
            </w:r>
          </w:p>
        </w:tc>
        <w:tc>
          <w:tcPr>
            <w:tcW w:type="dxa" w:w="1881"/>
          </w:tcPr>
          <w:p>
            <w:r>
              <w:rPr>
                <w:rFonts w:ascii="Arial" w:hAnsi="Arial"/>
                <w:sz w:val="18"/>
              </w:rPr>
              <w:t>1.35 [1.02, 1.88]</w:t>
            </w:r>
          </w:p>
        </w:tc>
      </w:tr>
    </w:tbl>
    <w:p>
      <w:r>
        <w:rPr>
          <w:rFonts w:ascii="Arial" w:hAnsi="Arial"/>
          <w:b w:val="0"/>
          <w:color w:val="000000"/>
          <w:sz w:val="22"/>
        </w:rPr>
        <w:t>Table (Section 3.13a). Pan-cancer NN/TT ratios (mean NN to mean TT ω) with sample-level cluster-bootstrap 95% CIs, one-sided Mann-Whitney P (NN &gt; TT), and the housekeeping-baseline mechanism: median and mean TT/NN k_n ratios with bootstrap 95% CIs. The pair-level Mann-Whitney P-values are descriptive only: they ignore the dyadic dependence between pairs sharing a sample, so the cluster-bootstrap CI is the inferential caliber. The point estimate exceeds 1 in 5 of 5 cancer types; the CI excludes 1 in 4 of 5 (LIHC includes 1), whereas the k_n mean-ratio CI excludes 1 in all five. Ranked by NN/TT effect size (main-text Fig. 5a).</w:t>
      </w:r>
    </w:p>
    <w:p>
      <w:r>
        <w:rPr>
          <w:rFonts w:ascii="Arial" w:hAnsi="Arial"/>
          <w:b w:val="0"/>
          <w:color w:val="000000"/>
          <w:sz w:val="22"/>
        </w:rPr>
        <w:t>LUAD driver-mutation stratification. Mean per-tumor ω was highest in KRAS-mutant tumors (136.9), exceeding wild-type (115.4) and EGFR-mutant tumors (122.2; Kruskal-Wallis P = 7.8 × 10⁻⁷; Tables (Sections 3.13b,c)). The k_f/k_n decomposition separates the two drivers’ associations: the KRAS contrast carries a functional component - k_f is elevated in KRAS-mutant tumors (KRAS versus EGFR, Dunn-Holm P = 0.015; KRAS-wild-type k_f difference 0.011, 95% CI 0.002-0.019) accompanied by a lower k_n (wild-type &gt; KRAS, Dunn-Holm P = 4.2 × 10⁻⁴), both of which raise the ratio; the unadjusted elevation is denominator-dominated (k_n contributed ~84% of the log-ω gap; the unadjusted k_f contrast KRAS versus WT was non-significant, Dunn P = 0.097), so both the unadjusted decomposition and the covariate-adjusted estimates below are reported; the EGFR association shows no significant k_f difference (all Holm-adjusted P &gt; 0.09) and no significant k_n difference (WT &gt; EGFR, P = 0.09). Covariate adjustment resolves the two drivers differently (Tables (Sections 3.13e-g)): after adjustment for stromal/immune admixture the KRAS-wild-type contrast retains both components (k_f +0.012, P = 0.009; k_n -0.0004, P = 0.003) and likewise survives joint smoking-plus-admixture adjustment (omega +13.6, P = 3.3 × 10⁻⁴), whereas the EGFR-wild-type differences disappear entirely under purity adjustment (all P &gt; 0.4) - EGFR-mutant tumors carry the highest admixture scores (Kruskal-Wallis P = 0.003), so the apparent EGFR elevation is an admixture artefact.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Metric</w:t>
            </w:r>
          </w:p>
        </w:tc>
        <w:tc>
          <w:tcPr>
            <w:tcW w:type="dxa" w:w="1881"/>
          </w:tcPr>
          <w:p>
            <w:r>
              <w:rPr>
                <w:rFonts w:ascii="Arial" w:hAnsi="Arial"/>
                <w:b/>
                <w:sz w:val="18"/>
              </w:rPr>
              <w:t>WT</w:t>
            </w:r>
          </w:p>
        </w:tc>
        <w:tc>
          <w:tcPr>
            <w:tcW w:type="dxa" w:w="1881"/>
          </w:tcPr>
          <w:p>
            <w:r>
              <w:rPr>
                <w:rFonts w:ascii="Arial" w:hAnsi="Arial"/>
                <w:b/>
                <w:sz w:val="18"/>
              </w:rPr>
              <w:t>EGFR</w:t>
            </w:r>
          </w:p>
        </w:tc>
        <w:tc>
          <w:tcPr>
            <w:tcW w:type="dxa" w:w="1881"/>
          </w:tcPr>
          <w:p>
            <w:r>
              <w:rPr>
                <w:rFonts w:ascii="Arial" w:hAnsi="Arial"/>
                <w:b/>
                <w:sz w:val="18"/>
              </w:rPr>
              <w:t>KRAS</w:t>
            </w:r>
          </w:p>
        </w:tc>
        <w:tc>
          <w:tcPr>
            <w:tcW w:type="dxa" w:w="1881"/>
          </w:tcPr>
          <w:p>
            <w:r>
              <w:rPr>
                <w:rFonts w:ascii="Arial" w:hAnsi="Arial"/>
                <w:b/>
                <w:sz w:val="18"/>
              </w:rPr>
              <w:t>Kruskal-Wallis P</w:t>
            </w:r>
          </w:p>
        </w:tc>
      </w:tr>
      <w:tr>
        <w:tc>
          <w:tcPr>
            <w:tcW w:type="dxa" w:w="1881"/>
          </w:tcPr>
          <w:p>
            <w:r>
              <w:rPr>
                <w:rFonts w:ascii="Arial" w:hAnsi="Arial"/>
                <w:sz w:val="18"/>
              </w:rPr>
              <w:t>ω</w:t>
            </w:r>
          </w:p>
        </w:tc>
        <w:tc>
          <w:tcPr>
            <w:tcW w:type="dxa" w:w="1881"/>
          </w:tcPr>
          <w:p>
            <w:r>
              <w:rPr>
                <w:rFonts w:ascii="Arial" w:hAnsi="Arial"/>
                <w:sz w:val="18"/>
              </w:rPr>
              <w:t>115.4</w:t>
            </w:r>
          </w:p>
        </w:tc>
        <w:tc>
          <w:tcPr>
            <w:tcW w:type="dxa" w:w="1881"/>
          </w:tcPr>
          <w:p>
            <w:r>
              <w:rPr>
                <w:rFonts w:ascii="Arial" w:hAnsi="Arial"/>
                <w:sz w:val="18"/>
              </w:rPr>
              <w:t>122.2</w:t>
            </w:r>
          </w:p>
        </w:tc>
        <w:tc>
          <w:tcPr>
            <w:tcW w:type="dxa" w:w="1881"/>
          </w:tcPr>
          <w:p>
            <w:r>
              <w:rPr>
                <w:rFonts w:ascii="Arial" w:hAnsi="Arial"/>
                <w:sz w:val="18"/>
              </w:rPr>
              <w:t>136.9</w:t>
            </w:r>
          </w:p>
        </w:tc>
        <w:tc>
          <w:tcPr>
            <w:tcW w:type="dxa" w:w="1881"/>
          </w:tcPr>
          <w:p>
            <w:r>
              <w:rPr>
                <w:rFonts w:ascii="Arial" w:hAnsi="Arial"/>
                <w:sz w:val="18"/>
              </w:rPr>
              <w:t>7.8×10⁻⁷</w:t>
            </w:r>
          </w:p>
        </w:tc>
      </w:tr>
      <w:tr>
        <w:tc>
          <w:tcPr>
            <w:tcW w:type="dxa" w:w="1881"/>
          </w:tcPr>
          <w:p>
            <w:r>
              <w:rPr>
                <w:rFonts w:ascii="Arial" w:hAnsi="Arial"/>
                <w:sz w:val="18"/>
              </w:rPr>
              <w:t>k_f</w:t>
            </w:r>
          </w:p>
        </w:tc>
        <w:tc>
          <w:tcPr>
            <w:tcW w:type="dxa" w:w="1881"/>
          </w:tcPr>
          <w:p>
            <w:r>
              <w:rPr>
                <w:rFonts w:ascii="Arial" w:hAnsi="Arial"/>
                <w:sz w:val="18"/>
              </w:rPr>
              <w:t>0.2814</w:t>
            </w:r>
          </w:p>
        </w:tc>
        <w:tc>
          <w:tcPr>
            <w:tcW w:type="dxa" w:w="1881"/>
          </w:tcPr>
          <w:p>
            <w:r>
              <w:rPr>
                <w:rFonts w:ascii="Arial" w:hAnsi="Arial"/>
                <w:sz w:val="18"/>
              </w:rPr>
              <w:t>0.2732</w:t>
            </w:r>
          </w:p>
        </w:tc>
        <w:tc>
          <w:tcPr>
            <w:tcW w:type="dxa" w:w="1881"/>
          </w:tcPr>
          <w:p>
            <w:r>
              <w:rPr>
                <w:rFonts w:ascii="Arial" w:hAnsi="Arial"/>
                <w:sz w:val="18"/>
              </w:rPr>
              <w:t>0.2919</w:t>
            </w:r>
          </w:p>
        </w:tc>
        <w:tc>
          <w:tcPr>
            <w:tcW w:type="dxa" w:w="1881"/>
          </w:tcPr>
          <w:p>
            <w:r>
              <w:rPr>
                <w:rFonts w:ascii="Arial" w:hAnsi="Arial"/>
                <w:sz w:val="18"/>
              </w:rPr>
              <w:t>0.015</w:t>
            </w:r>
          </w:p>
        </w:tc>
      </w:tr>
      <w:tr>
        <w:tc>
          <w:tcPr>
            <w:tcW w:type="dxa" w:w="1881"/>
          </w:tcPr>
          <w:p>
            <w:r>
              <w:rPr>
                <w:rFonts w:ascii="Arial" w:hAnsi="Arial"/>
                <w:sz w:val="18"/>
              </w:rPr>
              <w:t>k_n</w:t>
            </w:r>
          </w:p>
        </w:tc>
        <w:tc>
          <w:tcPr>
            <w:tcW w:type="dxa" w:w="1881"/>
          </w:tcPr>
          <w:p>
            <w:r>
              <w:rPr>
                <w:rFonts w:ascii="Arial" w:hAnsi="Arial"/>
                <w:sz w:val="18"/>
              </w:rPr>
              <w:t>0.0032</w:t>
            </w:r>
          </w:p>
        </w:tc>
        <w:tc>
          <w:tcPr>
            <w:tcW w:type="dxa" w:w="1881"/>
          </w:tcPr>
          <w:p>
            <w:r>
              <w:rPr>
                <w:rFonts w:ascii="Arial" w:hAnsi="Arial"/>
                <w:sz w:val="18"/>
              </w:rPr>
              <w:t>0.0028</w:t>
            </w:r>
          </w:p>
        </w:tc>
        <w:tc>
          <w:tcPr>
            <w:tcW w:type="dxa" w:w="1881"/>
          </w:tcPr>
          <w:p>
            <w:r>
              <w:rPr>
                <w:rFonts w:ascii="Arial" w:hAnsi="Arial"/>
                <w:sz w:val="18"/>
              </w:rPr>
              <w:t>0.0027</w:t>
            </w:r>
          </w:p>
        </w:tc>
        <w:tc>
          <w:tcPr>
            <w:tcW w:type="dxa" w:w="1881"/>
          </w:tcPr>
          <w:p>
            <w:r>
              <w:rPr>
                <w:rFonts w:ascii="Arial" w:hAnsi="Arial"/>
                <w:sz w:val="18"/>
              </w:rPr>
              <w:t>3.4×10⁻⁴</w:t>
            </w:r>
          </w:p>
        </w:tc>
      </w:tr>
    </w:tbl>
    <w:p>
      <w:r>
        <w:rPr>
          <w:rFonts w:ascii="Arial" w:hAnsi="Arial"/>
          <w:b w:val="0"/>
          <w:color w:val="000000"/>
          <w:sz w:val="22"/>
        </w:rPr>
        <w:t>Table (Section 3.13b). LUAD per-tumor group means (n = 311 wild-type, 61 EGFR-mutant, 120 KRAS-mutant) and the omnibus Kruskal-Wallis test for ω, k_f, and k_n. Wild-type means wild-type for EGFR and KRAS (tumors carrying other drivers were not separately excluded). Per-tumor means share TT pairs across groups, so the KW/Dunn tests and within-group bootstrap CIs do not model this pair-sharing dependence and are read descriptively; the covariate-adjusted OLS contrasts of Tables (Sections 3.13f,g) are the inferential caliber.</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Arial" w:hAnsi="Arial"/>
                <w:b/>
                <w:sz w:val="18"/>
              </w:rPr>
              <w:t>Contrast</w:t>
            </w:r>
          </w:p>
        </w:tc>
        <w:tc>
          <w:tcPr>
            <w:tcW w:type="dxa" w:w="2351"/>
          </w:tcPr>
          <w:p>
            <w:r>
              <w:rPr>
                <w:rFonts w:ascii="Arial" w:hAnsi="Arial"/>
                <w:b/>
                <w:sz w:val="18"/>
              </w:rPr>
              <w:t>ω: Dunn-Holm P / bootstrap diff [95% CI]</w:t>
            </w:r>
          </w:p>
        </w:tc>
        <w:tc>
          <w:tcPr>
            <w:tcW w:type="dxa" w:w="2351"/>
          </w:tcPr>
          <w:p>
            <w:r>
              <w:rPr>
                <w:rFonts w:ascii="Arial" w:hAnsi="Arial"/>
                <w:b/>
                <w:sz w:val="18"/>
              </w:rPr>
              <w:t>k_f: P / diff [95% CI]</w:t>
            </w:r>
          </w:p>
        </w:tc>
        <w:tc>
          <w:tcPr>
            <w:tcW w:type="dxa" w:w="2351"/>
          </w:tcPr>
          <w:p>
            <w:r>
              <w:rPr>
                <w:rFonts w:ascii="Arial" w:hAnsi="Arial"/>
                <w:b/>
                <w:sz w:val="18"/>
              </w:rPr>
              <w:t>k_n: P / diff [95% CI]</w:t>
            </w:r>
          </w:p>
        </w:tc>
      </w:tr>
      <w:tr>
        <w:tc>
          <w:tcPr>
            <w:tcW w:type="dxa" w:w="2351"/>
          </w:tcPr>
          <w:p>
            <w:r>
              <w:rPr>
                <w:rFonts w:ascii="Arial" w:hAnsi="Arial"/>
                <w:sz w:val="18"/>
              </w:rPr>
              <w:t>KRAS − WT</w:t>
            </w:r>
          </w:p>
        </w:tc>
        <w:tc>
          <w:tcPr>
            <w:tcW w:type="dxa" w:w="2351"/>
          </w:tcPr>
          <w:p>
            <w:r>
              <w:rPr>
                <w:rFonts w:ascii="Arial" w:hAnsi="Arial"/>
                <w:sz w:val="18"/>
              </w:rPr>
              <w:t>3.6×10⁻⁷ / +21.57 [14.66, 29.38]</w:t>
            </w:r>
          </w:p>
        </w:tc>
        <w:tc>
          <w:tcPr>
            <w:tcW w:type="dxa" w:w="2351"/>
          </w:tcPr>
          <w:p>
            <w:r>
              <w:rPr>
                <w:rFonts w:ascii="Arial" w:hAnsi="Arial"/>
                <w:sz w:val="18"/>
              </w:rPr>
              <w:t>0.097 / +0.0105 [0.0024, 0.0192]</w:t>
            </w:r>
          </w:p>
        </w:tc>
        <w:tc>
          <w:tcPr>
            <w:tcW w:type="dxa" w:w="2351"/>
          </w:tcPr>
          <w:p>
            <w:r>
              <w:rPr>
                <w:rFonts w:ascii="Arial" w:hAnsi="Arial"/>
                <w:sz w:val="18"/>
              </w:rPr>
              <w:t>4.2×10⁻⁴ / -0.0006 [-0.0008, -0.0003]</w:t>
            </w:r>
          </w:p>
        </w:tc>
      </w:tr>
      <w:tr>
        <w:tc>
          <w:tcPr>
            <w:tcW w:type="dxa" w:w="2351"/>
          </w:tcPr>
          <w:p>
            <w:r>
              <w:rPr>
                <w:rFonts w:ascii="Arial" w:hAnsi="Arial"/>
                <w:sz w:val="18"/>
              </w:rPr>
              <w:t>KRAS − EGFR</w:t>
            </w:r>
          </w:p>
        </w:tc>
        <w:tc>
          <w:tcPr>
            <w:tcW w:type="dxa" w:w="2351"/>
          </w:tcPr>
          <w:p>
            <w:r>
              <w:rPr>
                <w:rFonts w:ascii="Arial" w:hAnsi="Arial"/>
                <w:sz w:val="18"/>
              </w:rPr>
              <w:t>0.008 / +14.73 [5.564, 24.13]</w:t>
            </w:r>
          </w:p>
        </w:tc>
        <w:tc>
          <w:tcPr>
            <w:tcW w:type="dxa" w:w="2351"/>
          </w:tcPr>
          <w:p>
            <w:r>
              <w:rPr>
                <w:rFonts w:ascii="Arial" w:hAnsi="Arial"/>
                <w:sz w:val="18"/>
              </w:rPr>
              <w:t>0.015 / +0.0187 [0.0061, 0.0326]</w:t>
            </w:r>
          </w:p>
        </w:tc>
        <w:tc>
          <w:tcPr>
            <w:tcW w:type="dxa" w:w="2351"/>
          </w:tcPr>
          <w:p>
            <w:r>
              <w:rPr>
                <w:rFonts w:ascii="Arial" w:hAnsi="Arial"/>
                <w:sz w:val="18"/>
              </w:rPr>
              <w:t>0.41 / -0.0001 [-0.0005, 0.0002]</w:t>
            </w:r>
          </w:p>
        </w:tc>
      </w:tr>
      <w:tr>
        <w:tc>
          <w:tcPr>
            <w:tcW w:type="dxa" w:w="2351"/>
          </w:tcPr>
          <w:p>
            <w:r>
              <w:rPr>
                <w:rFonts w:ascii="Arial" w:hAnsi="Arial"/>
                <w:sz w:val="18"/>
              </w:rPr>
              <w:t>EGFR − WT</w:t>
            </w:r>
          </w:p>
        </w:tc>
        <w:tc>
          <w:tcPr>
            <w:tcW w:type="dxa" w:w="2351"/>
          </w:tcPr>
          <w:p>
            <w:r>
              <w:rPr>
                <w:rFonts w:ascii="Arial" w:hAnsi="Arial"/>
                <w:sz w:val="18"/>
              </w:rPr>
              <w:t>0.39 / +6.842 [-2.092, 15.18]</w:t>
            </w:r>
          </w:p>
        </w:tc>
        <w:tc>
          <w:tcPr>
            <w:tcW w:type="dxa" w:w="2351"/>
          </w:tcPr>
          <w:p>
            <w:r>
              <w:rPr>
                <w:rFonts w:ascii="Arial" w:hAnsi="Arial"/>
                <w:sz w:val="18"/>
              </w:rPr>
              <w:t>0.099 / -0.0081 [-0.0213, 0.0042]</w:t>
            </w:r>
          </w:p>
        </w:tc>
        <w:tc>
          <w:tcPr>
            <w:tcW w:type="dxa" w:w="2351"/>
          </w:tcPr>
          <w:p>
            <w:r>
              <w:rPr>
                <w:rFonts w:ascii="Arial" w:hAnsi="Arial"/>
                <w:sz w:val="18"/>
              </w:rPr>
              <w:t>0.089 / -0.0004 [-0.0007, -0.0001]</w:t>
            </w:r>
          </w:p>
        </w:tc>
      </w:tr>
    </w:tbl>
    <w:p>
      <w:r>
        <w:rPr>
          <w:rFonts w:ascii="Arial" w:hAnsi="Arial"/>
          <w:b w:val="0"/>
          <w:color w:val="000000"/>
          <w:sz w:val="22"/>
        </w:rPr>
        <w:t>Table (Section 3.13c). LUAD pairwise contrasts: Dunn post-hoc P-values with Holm correction, and within-group bootstrap mean differences with 95% CIs (B = 1,000). Main-text Fig. 5b-d.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Model</w:t>
            </w:r>
          </w:p>
        </w:tc>
        <w:tc>
          <w:tcPr>
            <w:tcW w:type="dxa" w:w="1881"/>
          </w:tcPr>
          <w:p>
            <w:r>
              <w:rPr>
                <w:rFonts w:ascii="Arial" w:hAnsi="Arial"/>
                <w:b/>
                <w:sz w:val="18"/>
              </w:rPr>
              <w:t>n</w:t>
            </w:r>
          </w:p>
        </w:tc>
        <w:tc>
          <w:tcPr>
            <w:tcW w:type="dxa" w:w="1881"/>
          </w:tcPr>
          <w:p>
            <w:r>
              <w:rPr>
                <w:rFonts w:ascii="Arial" w:hAnsi="Arial"/>
                <w:b/>
                <w:sz w:val="18"/>
              </w:rPr>
              <w:t>Events</w:t>
            </w:r>
          </w:p>
        </w:tc>
        <w:tc>
          <w:tcPr>
            <w:tcW w:type="dxa" w:w="1881"/>
          </w:tcPr>
          <w:p>
            <w:r>
              <w:rPr>
                <w:rFonts w:ascii="Arial" w:hAnsi="Arial"/>
                <w:b/>
                <w:sz w:val="18"/>
              </w:rPr>
              <w:t>HR per SD [95% CI]</w:t>
            </w:r>
          </w:p>
        </w:tc>
        <w:tc>
          <w:tcPr>
            <w:tcW w:type="dxa" w:w="1881"/>
          </w:tcPr>
          <w:p>
            <w:r>
              <w:rPr>
                <w:rFonts w:ascii="Arial" w:hAnsi="Arial"/>
                <w:b/>
                <w:sz w:val="18"/>
              </w:rPr>
              <w:t>P</w:t>
            </w:r>
          </w:p>
        </w:tc>
      </w:tr>
      <w:tr>
        <w:tc>
          <w:tcPr>
            <w:tcW w:type="dxa" w:w="1881"/>
          </w:tcPr>
          <w:p>
            <w:r>
              <w:rPr>
                <w:rFonts w:ascii="Arial" w:hAnsi="Arial"/>
                <w:sz w:val="18"/>
              </w:rPr>
              <w:t>M1: ω, full adjustment</w:t>
            </w:r>
          </w:p>
        </w:tc>
        <w:tc>
          <w:tcPr>
            <w:tcW w:type="dxa" w:w="1881"/>
          </w:tcPr>
          <w:p>
            <w:r>
              <w:rPr>
                <w:rFonts w:ascii="Arial" w:hAnsi="Arial"/>
                <w:sz w:val="18"/>
              </w:rPr>
              <w:t>304</w:t>
            </w:r>
          </w:p>
        </w:tc>
        <w:tc>
          <w:tcPr>
            <w:tcW w:type="dxa" w:w="1881"/>
          </w:tcPr>
          <w:p>
            <w:r>
              <w:rPr>
                <w:rFonts w:ascii="Arial" w:hAnsi="Arial"/>
                <w:sz w:val="18"/>
              </w:rPr>
              <w:t>101</w:t>
            </w:r>
          </w:p>
        </w:tc>
        <w:tc>
          <w:tcPr>
            <w:tcW w:type="dxa" w:w="1881"/>
          </w:tcPr>
          <w:p>
            <w:r>
              <w:rPr>
                <w:rFonts w:ascii="Arial" w:hAnsi="Arial"/>
                <w:sz w:val="18"/>
              </w:rPr>
              <w:t>1.07 [0.88, 1.31]</w:t>
            </w:r>
          </w:p>
        </w:tc>
        <w:tc>
          <w:tcPr>
            <w:tcW w:type="dxa" w:w="1881"/>
          </w:tcPr>
          <w:p>
            <w:r>
              <w:rPr>
                <w:rFonts w:ascii="Arial" w:hAnsi="Arial"/>
                <w:sz w:val="18"/>
              </w:rPr>
              <w:t>0.48</w:t>
            </w:r>
          </w:p>
        </w:tc>
      </w:tr>
      <w:tr>
        <w:tc>
          <w:tcPr>
            <w:tcW w:type="dxa" w:w="1881"/>
          </w:tcPr>
          <w:p>
            <w:r>
              <w:rPr>
                <w:rFonts w:ascii="Arial" w:hAnsi="Arial"/>
                <w:sz w:val="18"/>
              </w:rPr>
              <w:t>M2: ω + stage + grade</w:t>
            </w:r>
          </w:p>
        </w:tc>
        <w:tc>
          <w:tcPr>
            <w:tcW w:type="dxa" w:w="1881"/>
          </w:tcPr>
          <w:p>
            <w:r>
              <w:rPr>
                <w:rFonts w:ascii="Arial" w:hAnsi="Arial"/>
                <w:sz w:val="18"/>
              </w:rPr>
              <w:t>304</w:t>
            </w:r>
          </w:p>
        </w:tc>
        <w:tc>
          <w:tcPr>
            <w:tcW w:type="dxa" w:w="1881"/>
          </w:tcPr>
          <w:p>
            <w:r>
              <w:rPr>
                <w:rFonts w:ascii="Arial" w:hAnsi="Arial"/>
                <w:sz w:val="18"/>
              </w:rPr>
              <w:t>101</w:t>
            </w:r>
          </w:p>
        </w:tc>
        <w:tc>
          <w:tcPr>
            <w:tcW w:type="dxa" w:w="1881"/>
          </w:tcPr>
          <w:p>
            <w:r>
              <w:rPr>
                <w:rFonts w:ascii="Arial" w:hAnsi="Arial"/>
                <w:sz w:val="18"/>
              </w:rPr>
              <w:t>1.04 [0.86, 1.27]</w:t>
            </w:r>
          </w:p>
        </w:tc>
        <w:tc>
          <w:tcPr>
            <w:tcW w:type="dxa" w:w="1881"/>
          </w:tcPr>
          <w:p>
            <w:r>
              <w:rPr>
                <w:rFonts w:ascii="Arial" w:hAnsi="Arial"/>
                <w:sz w:val="18"/>
              </w:rPr>
              <w:t>0.65</w:t>
            </w:r>
          </w:p>
        </w:tc>
      </w:tr>
      <w:tr>
        <w:tc>
          <w:tcPr>
            <w:tcW w:type="dxa" w:w="1881"/>
          </w:tcPr>
          <w:p>
            <w:r>
              <w:rPr>
                <w:rFonts w:ascii="Arial" w:hAnsi="Arial"/>
                <w:sz w:val="18"/>
              </w:rPr>
              <w:t>M3: ω, unadjusted</w:t>
            </w:r>
          </w:p>
        </w:tc>
        <w:tc>
          <w:tcPr>
            <w:tcW w:type="dxa" w:w="1881"/>
          </w:tcPr>
          <w:p>
            <w:r>
              <w:rPr>
                <w:rFonts w:ascii="Arial" w:hAnsi="Arial"/>
                <w:sz w:val="18"/>
              </w:rPr>
              <w:t>326</w:t>
            </w:r>
          </w:p>
        </w:tc>
        <w:tc>
          <w:tcPr>
            <w:tcW w:type="dxa" w:w="1881"/>
          </w:tcPr>
          <w:p>
            <w:r>
              <w:rPr>
                <w:rFonts w:ascii="Arial" w:hAnsi="Arial"/>
                <w:sz w:val="18"/>
              </w:rPr>
              <w:t>115</w:t>
            </w:r>
          </w:p>
        </w:tc>
        <w:tc>
          <w:tcPr>
            <w:tcW w:type="dxa" w:w="1881"/>
          </w:tcPr>
          <w:p>
            <w:r>
              <w:rPr>
                <w:rFonts w:ascii="Arial" w:hAnsi="Arial"/>
                <w:sz w:val="18"/>
              </w:rPr>
              <w:t>1.10 [0.91, 1.32]</w:t>
            </w:r>
          </w:p>
        </w:tc>
        <w:tc>
          <w:tcPr>
            <w:tcW w:type="dxa" w:w="1881"/>
          </w:tcPr>
          <w:p>
            <w:r>
              <w:rPr>
                <w:rFonts w:ascii="Arial" w:hAnsi="Arial"/>
                <w:sz w:val="18"/>
              </w:rPr>
              <w:t>0.31</w:t>
            </w:r>
          </w:p>
        </w:tc>
      </w:tr>
      <w:tr>
        <w:tc>
          <w:tcPr>
            <w:tcW w:type="dxa" w:w="1881"/>
          </w:tcPr>
          <w:p>
            <w:r>
              <w:rPr>
                <w:rFonts w:ascii="Arial" w:hAnsi="Arial"/>
                <w:sz w:val="18"/>
              </w:rPr>
              <w:t>M4: k_f, full adjustment</w:t>
            </w:r>
          </w:p>
        </w:tc>
        <w:tc>
          <w:tcPr>
            <w:tcW w:type="dxa" w:w="1881"/>
          </w:tcPr>
          <w:p>
            <w:r>
              <w:rPr>
                <w:rFonts w:ascii="Arial" w:hAnsi="Arial"/>
                <w:sz w:val="18"/>
              </w:rPr>
              <w:t>304</w:t>
            </w:r>
          </w:p>
        </w:tc>
        <w:tc>
          <w:tcPr>
            <w:tcW w:type="dxa" w:w="1881"/>
          </w:tcPr>
          <w:p>
            <w:r>
              <w:rPr>
                <w:rFonts w:ascii="Arial" w:hAnsi="Arial"/>
                <w:sz w:val="18"/>
              </w:rPr>
              <w:t>101</w:t>
            </w:r>
          </w:p>
        </w:tc>
        <w:tc>
          <w:tcPr>
            <w:tcW w:type="dxa" w:w="1881"/>
          </w:tcPr>
          <w:p>
            <w:r>
              <w:rPr>
                <w:rFonts w:ascii="Arial" w:hAnsi="Arial"/>
                <w:sz w:val="18"/>
              </w:rPr>
              <w:t>1.24 [0.98, 1.56]</w:t>
            </w:r>
          </w:p>
        </w:tc>
        <w:tc>
          <w:tcPr>
            <w:tcW w:type="dxa" w:w="1881"/>
          </w:tcPr>
          <w:p>
            <w:r>
              <w:rPr>
                <w:rFonts w:ascii="Arial" w:hAnsi="Arial"/>
                <w:sz w:val="18"/>
              </w:rPr>
              <w:t>0.072</w:t>
            </w:r>
          </w:p>
        </w:tc>
      </w:tr>
      <w:tr>
        <w:tc>
          <w:tcPr>
            <w:tcW w:type="dxa" w:w="1881"/>
          </w:tcPr>
          <w:p>
            <w:r>
              <w:rPr>
                <w:rFonts w:ascii="Arial" w:hAnsi="Arial"/>
                <w:sz w:val="18"/>
              </w:rPr>
              <w:t>M5: k_n, full adjustment</w:t>
            </w:r>
          </w:p>
        </w:tc>
        <w:tc>
          <w:tcPr>
            <w:tcW w:type="dxa" w:w="1881"/>
          </w:tcPr>
          <w:p>
            <w:r>
              <w:rPr>
                <w:rFonts w:ascii="Arial" w:hAnsi="Arial"/>
                <w:sz w:val="18"/>
              </w:rPr>
              <w:t>304</w:t>
            </w:r>
          </w:p>
        </w:tc>
        <w:tc>
          <w:tcPr>
            <w:tcW w:type="dxa" w:w="1881"/>
          </w:tcPr>
          <w:p>
            <w:r>
              <w:rPr>
                <w:rFonts w:ascii="Arial" w:hAnsi="Arial"/>
                <w:sz w:val="18"/>
              </w:rPr>
              <w:t>101</w:t>
            </w:r>
          </w:p>
        </w:tc>
        <w:tc>
          <w:tcPr>
            <w:tcW w:type="dxa" w:w="1881"/>
          </w:tcPr>
          <w:p>
            <w:r>
              <w:rPr>
                <w:rFonts w:ascii="Arial" w:hAnsi="Arial"/>
                <w:sz w:val="18"/>
              </w:rPr>
              <w:t>0.96 [0.81, 1.13]</w:t>
            </w:r>
          </w:p>
        </w:tc>
        <w:tc>
          <w:tcPr>
            <w:tcW w:type="dxa" w:w="1881"/>
          </w:tcPr>
          <w:p>
            <w:r>
              <w:rPr>
                <w:rFonts w:ascii="Arial" w:hAnsi="Arial"/>
                <w:sz w:val="18"/>
              </w:rPr>
              <w:t>0.60</w:t>
            </w:r>
          </w:p>
        </w:tc>
      </w:tr>
      <w:tr>
        <w:tc>
          <w:tcPr>
            <w:tcW w:type="dxa" w:w="1881"/>
          </w:tcPr>
          <w:p>
            <w:r>
              <w:rPr>
                <w:rFonts w:ascii="Arial" w:hAnsi="Arial"/>
                <w:sz w:val="18"/>
              </w:rPr>
              <w:t>M6: TN-ω, full adjustment</w:t>
            </w:r>
          </w:p>
        </w:tc>
        <w:tc>
          <w:tcPr>
            <w:tcW w:type="dxa" w:w="1881"/>
          </w:tcPr>
          <w:p>
            <w:r>
              <w:rPr>
                <w:rFonts w:ascii="Arial" w:hAnsi="Arial"/>
                <w:sz w:val="18"/>
              </w:rPr>
              <w:t>300</w:t>
            </w:r>
          </w:p>
        </w:tc>
        <w:tc>
          <w:tcPr>
            <w:tcW w:type="dxa" w:w="1881"/>
          </w:tcPr>
          <w:p>
            <w:r>
              <w:rPr>
                <w:rFonts w:ascii="Arial" w:hAnsi="Arial"/>
                <w:sz w:val="18"/>
              </w:rPr>
              <w:t>99</w:t>
            </w:r>
          </w:p>
        </w:tc>
        <w:tc>
          <w:tcPr>
            <w:tcW w:type="dxa" w:w="1881"/>
          </w:tcPr>
          <w:p>
            <w:r>
              <w:rPr>
                <w:rFonts w:ascii="Arial" w:hAnsi="Arial"/>
                <w:sz w:val="18"/>
              </w:rPr>
              <w:t>0.93 [0.77, 1.14]</w:t>
            </w:r>
          </w:p>
        </w:tc>
        <w:tc>
          <w:tcPr>
            <w:tcW w:type="dxa" w:w="1881"/>
          </w:tcPr>
          <w:p>
            <w:r>
              <w:rPr>
                <w:rFonts w:ascii="Arial" w:hAnsi="Arial"/>
                <w:sz w:val="18"/>
              </w:rPr>
              <w:t>0.49</w:t>
            </w:r>
          </w:p>
        </w:tc>
      </w:tr>
    </w:tbl>
    <w:p>
      <w:r>
        <w:rPr>
          <w:rFonts w:ascii="Arial" w:hAnsi="Arial"/>
          <w:b w:val="0"/>
          <w:color w:val="000000"/>
          <w:sz w:val="22"/>
        </w:rPr>
        <w:t>Table (Section 3.13d). LIHC overall-survival Cox models (hazard ratios per +1 SD of the exposure). No exposure reaches significance (all P ≥ 0.07; k_f closest at P = 0.072), so the pan-cancer reversal is a descriptive property of tissue-state divergence, not a prognostic marker; the full coefficient table is results/nc49_pilot_lihc_cox.csv of the companion repository.</w:t>
      </w:r>
    </w:p>
    <w:p>
      <w:r>
        <w:rPr>
          <w:rFonts w:ascii="Arial" w:hAnsi="Arial"/>
          <w:b w:val="0"/>
          <w:color w:val="000000"/>
          <w:sz w:val="22"/>
        </w:rPr>
        <w:t>Purity and smoking covariate sensitivity. Stromal/immune admixture was scored per sample with the official ESTIMATE gene sets (141 stromal + 141 immune genes) using the rank-based single-sample enrichment algorithm over all 45,504 expressed genes of the five-cancer merged matrix; the combined stromal-plus-immune score is monotonically equivalent to published ESTIMATE purity, so regression-based adjustment is invariant to the transformation. Per-tumor k_n correlated negatively with admixture in every cancer type, and restricting tumor-tumor pairs to the low-admixture half of tumors increased the NN/TT ratio in all five cancer types (Table (Section 3.13e)), so the pan-cancer reversal is not an admixture artefact. In LUAD, admixture differed across driver groups (highest in EGFR-mutant tumors), and OLS adjustment for admixture abolished the EGFR-wild-type differences while preserving both KRAS-wild-type components (Table (Section 3.13f)); smoking status (ever/never, available for 427 of 492 LUAD tumors, 87%) was strongly confounded with driver group but did not carry the divergence association (Table (Section 3.13g)).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Cancer</w:t>
            </w:r>
          </w:p>
        </w:tc>
        <w:tc>
          <w:tcPr>
            <w:tcW w:type="dxa" w:w="1881"/>
          </w:tcPr>
          <w:p>
            <w:r>
              <w:rPr>
                <w:rFonts w:ascii="Arial" w:hAnsi="Arial"/>
                <w:b/>
                <w:sz w:val="18"/>
              </w:rPr>
              <w:t>k_n ~ admix r (P)</w:t>
            </w:r>
          </w:p>
        </w:tc>
        <w:tc>
          <w:tcPr>
            <w:tcW w:type="dxa" w:w="1881"/>
          </w:tcPr>
          <w:p>
            <w:r>
              <w:rPr>
                <w:rFonts w:ascii="Arial" w:hAnsi="Arial"/>
                <w:b/>
                <w:sz w:val="18"/>
              </w:rPr>
              <w:t>ω ~ admix r (P)</w:t>
            </w:r>
          </w:p>
        </w:tc>
        <w:tc>
          <w:tcPr>
            <w:tcW w:type="dxa" w:w="1881"/>
          </w:tcPr>
          <w:p>
            <w:r>
              <w:rPr>
                <w:rFonts w:ascii="Arial" w:hAnsi="Arial"/>
                <w:b/>
                <w:sz w:val="18"/>
              </w:rPr>
              <w:t>NN/TT all tumors</w:t>
            </w:r>
          </w:p>
        </w:tc>
        <w:tc>
          <w:tcPr>
            <w:tcW w:type="dxa" w:w="1881"/>
          </w:tcPr>
          <w:p>
            <w:r>
              <w:rPr>
                <w:rFonts w:ascii="Arial" w:hAnsi="Arial"/>
                <w:b/>
                <w:sz w:val="18"/>
              </w:rPr>
              <w:t>NN/TT low-admix half [95% CI]</w:t>
            </w:r>
          </w:p>
        </w:tc>
      </w:tr>
      <w:tr>
        <w:tc>
          <w:tcPr>
            <w:tcW w:type="dxa" w:w="1881"/>
          </w:tcPr>
          <w:p>
            <w:r>
              <w:rPr>
                <w:rFonts w:ascii="Arial" w:hAnsi="Arial"/>
                <w:sz w:val="18"/>
              </w:rPr>
              <w:t>LUAD</w:t>
            </w:r>
          </w:p>
        </w:tc>
        <w:tc>
          <w:tcPr>
            <w:tcW w:type="dxa" w:w="1881"/>
          </w:tcPr>
          <w:p>
            <w:r>
              <w:rPr>
                <w:rFonts w:ascii="Arial" w:hAnsi="Arial"/>
                <w:sz w:val="18"/>
              </w:rPr>
              <w:t>-0.42 (1.8×10⁻²²)</w:t>
            </w:r>
          </w:p>
        </w:tc>
        <w:tc>
          <w:tcPr>
            <w:tcW w:type="dxa" w:w="1881"/>
          </w:tcPr>
          <w:p>
            <w:r>
              <w:rPr>
                <w:rFonts w:ascii="Arial" w:hAnsi="Arial"/>
                <w:sz w:val="18"/>
              </w:rPr>
              <w:t>+0.47 (6.4×10⁻²⁹)</w:t>
            </w:r>
          </w:p>
        </w:tc>
        <w:tc>
          <w:tcPr>
            <w:tcW w:type="dxa" w:w="1881"/>
          </w:tcPr>
          <w:p>
            <w:r>
              <w:rPr>
                <w:rFonts w:ascii="Arial" w:hAnsi="Arial"/>
                <w:sz w:val="18"/>
              </w:rPr>
              <w:t>2.46</w:t>
            </w:r>
          </w:p>
        </w:tc>
        <w:tc>
          <w:tcPr>
            <w:tcW w:type="dxa" w:w="1881"/>
          </w:tcPr>
          <w:p>
            <w:r>
              <w:rPr>
                <w:rFonts w:ascii="Arial" w:hAnsi="Arial"/>
                <w:sz w:val="18"/>
              </w:rPr>
              <w:t>2.86 [2.410,3.451]</w:t>
            </w:r>
          </w:p>
        </w:tc>
      </w:tr>
      <w:tr>
        <w:tc>
          <w:tcPr>
            <w:tcW w:type="dxa" w:w="1881"/>
          </w:tcPr>
          <w:p>
            <w:r>
              <w:rPr>
                <w:rFonts w:ascii="Arial" w:hAnsi="Arial"/>
                <w:sz w:val="18"/>
              </w:rPr>
              <w:t>LUSC</w:t>
            </w:r>
          </w:p>
        </w:tc>
        <w:tc>
          <w:tcPr>
            <w:tcW w:type="dxa" w:w="1881"/>
          </w:tcPr>
          <w:p>
            <w:r>
              <w:rPr>
                <w:rFonts w:ascii="Arial" w:hAnsi="Arial"/>
                <w:sz w:val="18"/>
              </w:rPr>
              <w:t>-0.24 (3.4×10⁻⁸)</w:t>
            </w:r>
          </w:p>
        </w:tc>
        <w:tc>
          <w:tcPr>
            <w:tcW w:type="dxa" w:w="1881"/>
          </w:tcPr>
          <w:p>
            <w:r>
              <w:rPr>
                <w:rFonts w:ascii="Arial" w:hAnsi="Arial"/>
                <w:sz w:val="18"/>
              </w:rPr>
              <w:t>+0.24 (1.1×10⁻⁸)</w:t>
            </w:r>
          </w:p>
        </w:tc>
        <w:tc>
          <w:tcPr>
            <w:tcW w:type="dxa" w:w="1881"/>
          </w:tcPr>
          <w:p>
            <w:r>
              <w:rPr>
                <w:rFonts w:ascii="Arial" w:hAnsi="Arial"/>
                <w:sz w:val="18"/>
              </w:rPr>
              <w:t>1.71</w:t>
            </w:r>
          </w:p>
        </w:tc>
        <w:tc>
          <w:tcPr>
            <w:tcW w:type="dxa" w:w="1881"/>
          </w:tcPr>
          <w:p>
            <w:r>
              <w:rPr>
                <w:rFonts w:ascii="Arial" w:hAnsi="Arial"/>
                <w:sz w:val="18"/>
              </w:rPr>
              <w:t>1.82 [1.442,2.245]</w:t>
            </w:r>
          </w:p>
        </w:tc>
      </w:tr>
      <w:tr>
        <w:tc>
          <w:tcPr>
            <w:tcW w:type="dxa" w:w="1881"/>
          </w:tcPr>
          <w:p>
            <w:r>
              <w:rPr>
                <w:rFonts w:ascii="Arial" w:hAnsi="Arial"/>
                <w:sz w:val="18"/>
              </w:rPr>
              <w:t>LIHC</w:t>
            </w:r>
          </w:p>
        </w:tc>
        <w:tc>
          <w:tcPr>
            <w:tcW w:type="dxa" w:w="1881"/>
          </w:tcPr>
          <w:p>
            <w:r>
              <w:rPr>
                <w:rFonts w:ascii="Arial" w:hAnsi="Arial"/>
                <w:sz w:val="18"/>
              </w:rPr>
              <w:t>-0.23 (3.9×10⁻⁶)</w:t>
            </w:r>
          </w:p>
        </w:tc>
        <w:tc>
          <w:tcPr>
            <w:tcW w:type="dxa" w:w="1881"/>
          </w:tcPr>
          <w:p>
            <w:r>
              <w:rPr>
                <w:rFonts w:ascii="Arial" w:hAnsi="Arial"/>
                <w:sz w:val="18"/>
              </w:rPr>
              <w:t>+0.17 (6.3×10⁻⁴)</w:t>
            </w:r>
          </w:p>
        </w:tc>
        <w:tc>
          <w:tcPr>
            <w:tcW w:type="dxa" w:w="1881"/>
          </w:tcPr>
          <w:p>
            <w:r>
              <w:rPr>
                <w:rFonts w:ascii="Arial" w:hAnsi="Arial"/>
                <w:sz w:val="18"/>
              </w:rPr>
              <w:t>1.10</w:t>
            </w:r>
          </w:p>
        </w:tc>
        <w:tc>
          <w:tcPr>
            <w:tcW w:type="dxa" w:w="1881"/>
          </w:tcPr>
          <w:p>
            <w:r>
              <w:rPr>
                <w:rFonts w:ascii="Arial" w:hAnsi="Arial"/>
                <w:sz w:val="18"/>
              </w:rPr>
              <w:t>1.17 [0.968,1.412]</w:t>
            </w:r>
          </w:p>
        </w:tc>
      </w:tr>
      <w:tr>
        <w:tc>
          <w:tcPr>
            <w:tcW w:type="dxa" w:w="1881"/>
          </w:tcPr>
          <w:p>
            <w:r>
              <w:rPr>
                <w:rFonts w:ascii="Arial" w:hAnsi="Arial"/>
                <w:sz w:val="18"/>
              </w:rPr>
              <w:t>KIRC</w:t>
            </w:r>
          </w:p>
        </w:tc>
        <w:tc>
          <w:tcPr>
            <w:tcW w:type="dxa" w:w="1881"/>
          </w:tcPr>
          <w:p>
            <w:r>
              <w:rPr>
                <w:rFonts w:ascii="Arial" w:hAnsi="Arial"/>
                <w:sz w:val="18"/>
              </w:rPr>
              <w:t>-0.30 (8.3×10⁻¹⁷)</w:t>
            </w:r>
          </w:p>
        </w:tc>
        <w:tc>
          <w:tcPr>
            <w:tcW w:type="dxa" w:w="1881"/>
          </w:tcPr>
          <w:p>
            <w:r>
              <w:rPr>
                <w:rFonts w:ascii="Arial" w:hAnsi="Arial"/>
                <w:sz w:val="18"/>
              </w:rPr>
              <w:t>+0.40 (9.6×10⁻³¹)</w:t>
            </w:r>
          </w:p>
        </w:tc>
        <w:tc>
          <w:tcPr>
            <w:tcW w:type="dxa" w:w="1881"/>
          </w:tcPr>
          <w:p>
            <w:r>
              <w:rPr>
                <w:rFonts w:ascii="Arial" w:hAnsi="Arial"/>
                <w:sz w:val="18"/>
              </w:rPr>
              <w:t>1.88</w:t>
            </w:r>
          </w:p>
        </w:tc>
        <w:tc>
          <w:tcPr>
            <w:tcW w:type="dxa" w:w="1881"/>
          </w:tcPr>
          <w:p>
            <w:r>
              <w:rPr>
                <w:rFonts w:ascii="Arial" w:hAnsi="Arial"/>
                <w:sz w:val="18"/>
              </w:rPr>
              <w:t>2.27 [1.944,2.668]</w:t>
            </w:r>
          </w:p>
        </w:tc>
      </w:tr>
      <w:tr>
        <w:tc>
          <w:tcPr>
            <w:tcW w:type="dxa" w:w="1881"/>
          </w:tcPr>
          <w:p>
            <w:r>
              <w:rPr>
                <w:rFonts w:ascii="Arial" w:hAnsi="Arial"/>
                <w:sz w:val="18"/>
              </w:rPr>
              <w:t>BRCA</w:t>
            </w:r>
          </w:p>
        </w:tc>
        <w:tc>
          <w:tcPr>
            <w:tcW w:type="dxa" w:w="1881"/>
          </w:tcPr>
          <w:p>
            <w:r>
              <w:rPr>
                <w:rFonts w:ascii="Arial" w:hAnsi="Arial"/>
                <w:sz w:val="18"/>
              </w:rPr>
              <w:t>-0.32 (4.3×10⁻²⁶)</w:t>
            </w:r>
          </w:p>
        </w:tc>
        <w:tc>
          <w:tcPr>
            <w:tcW w:type="dxa" w:w="1881"/>
          </w:tcPr>
          <w:p>
            <w:r>
              <w:rPr>
                <w:rFonts w:ascii="Arial" w:hAnsi="Arial"/>
                <w:sz w:val="18"/>
              </w:rPr>
              <w:t>+0.29 (2.2×10⁻²⁰)</w:t>
            </w:r>
          </w:p>
        </w:tc>
        <w:tc>
          <w:tcPr>
            <w:tcW w:type="dxa" w:w="1881"/>
          </w:tcPr>
          <w:p>
            <w:r>
              <w:rPr>
                <w:rFonts w:ascii="Arial" w:hAnsi="Arial"/>
                <w:sz w:val="18"/>
              </w:rPr>
              <w:t>1.57</w:t>
            </w:r>
          </w:p>
        </w:tc>
        <w:tc>
          <w:tcPr>
            <w:tcW w:type="dxa" w:w="1881"/>
          </w:tcPr>
          <w:p>
            <w:r>
              <w:rPr>
                <w:rFonts w:ascii="Arial" w:hAnsi="Arial"/>
                <w:sz w:val="18"/>
              </w:rPr>
              <w:t>1.74 [1.488,2.082]</w:t>
            </w:r>
          </w:p>
        </w:tc>
      </w:tr>
    </w:tbl>
    <w:p>
      <w:r>
        <w:rPr>
          <w:rFonts w:ascii="Arial" w:hAnsi="Arial"/>
          <w:b w:val="0"/>
          <w:color w:val="000000"/>
          <w:sz w:val="22"/>
        </w:rPr>
        <w:t>Table (Section 3.13e). Purity sensitivity of the pan-cancer reversal. Left: Pearson correlations of per-tumor k_n and ω with the ESTIMATE combined admixture score; the k_n correlation is negative in all five cancer types (KIRC P = 8.3 × 10⁻¹⁷, LIHC P = 3.9 × 10⁻⁶), so admixture can only weaken, not create, the TT k_n elevation. Right: NN/TT ω mean ratio over all tumors versus tumor-tumor pairs restricted to the low-admixture (high-purity) half of tumors (sample-level cluster bootstrap 95% CI, B = 1,000, seed 42); the ratio increases in all five cancer types and the CI excludes 1 in four of five (LIHC still including 1).</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Arial" w:hAnsi="Arial"/>
                <w:b/>
                <w:sz w:val="18"/>
              </w:rPr>
              <w:t>Contrast</w:t>
            </w:r>
          </w:p>
        </w:tc>
        <w:tc>
          <w:tcPr>
            <w:tcW w:type="dxa" w:w="2351"/>
          </w:tcPr>
          <w:p>
            <w:r>
              <w:rPr>
                <w:rFonts w:ascii="Arial" w:hAnsi="Arial"/>
                <w:b/>
                <w:sz w:val="18"/>
              </w:rPr>
              <w:t>Δω (P)</w:t>
            </w:r>
          </w:p>
        </w:tc>
        <w:tc>
          <w:tcPr>
            <w:tcW w:type="dxa" w:w="2351"/>
          </w:tcPr>
          <w:p>
            <w:r>
              <w:rPr>
                <w:rFonts w:ascii="Arial" w:hAnsi="Arial"/>
                <w:b/>
                <w:sz w:val="18"/>
              </w:rPr>
              <w:t>Δk_f (P)</w:t>
            </w:r>
          </w:p>
        </w:tc>
        <w:tc>
          <w:tcPr>
            <w:tcW w:type="dxa" w:w="2351"/>
          </w:tcPr>
          <w:p>
            <w:r>
              <w:rPr>
                <w:rFonts w:ascii="Arial" w:hAnsi="Arial"/>
                <w:b/>
                <w:sz w:val="18"/>
              </w:rPr>
              <w:t>Δk_n (P)</w:t>
            </w:r>
          </w:p>
        </w:tc>
      </w:tr>
      <w:tr>
        <w:tc>
          <w:tcPr>
            <w:tcW w:type="dxa" w:w="2351"/>
          </w:tcPr>
          <w:p>
            <w:r>
              <w:rPr>
                <w:rFonts w:ascii="Arial" w:hAnsi="Arial"/>
                <w:sz w:val="18"/>
              </w:rPr>
              <w:t>KRAS − WT</w:t>
            </w:r>
          </w:p>
        </w:tc>
        <w:tc>
          <w:tcPr>
            <w:tcW w:type="dxa" w:w="2351"/>
          </w:tcPr>
          <w:p>
            <w:r>
              <w:rPr>
                <w:rFonts w:ascii="Arial" w:hAnsi="Arial"/>
                <w:sz w:val="18"/>
              </w:rPr>
              <w:t>+16.83 (4.0×10⁻⁶)</w:t>
            </w:r>
          </w:p>
        </w:tc>
        <w:tc>
          <w:tcPr>
            <w:tcW w:type="dxa" w:w="2351"/>
          </w:tcPr>
          <w:p>
            <w:r>
              <w:rPr>
                <w:rFonts w:ascii="Arial" w:hAnsi="Arial"/>
                <w:sz w:val="18"/>
              </w:rPr>
              <w:t>+0.0124 (0.009)</w:t>
            </w:r>
          </w:p>
        </w:tc>
        <w:tc>
          <w:tcPr>
            <w:tcW w:type="dxa" w:w="2351"/>
          </w:tcPr>
          <w:p>
            <w:r>
              <w:rPr>
                <w:rFonts w:ascii="Arial" w:hAnsi="Arial"/>
                <w:sz w:val="18"/>
              </w:rPr>
              <w:t>-0.0004 (0.003)</w:t>
            </w:r>
          </w:p>
        </w:tc>
      </w:tr>
      <w:tr>
        <w:tc>
          <w:tcPr>
            <w:tcW w:type="dxa" w:w="2351"/>
          </w:tcPr>
          <w:p>
            <w:r>
              <w:rPr>
                <w:rFonts w:ascii="Arial" w:hAnsi="Arial"/>
                <w:sz w:val="18"/>
              </w:rPr>
              <w:t>KRAS − EGFR</w:t>
            </w:r>
          </w:p>
        </w:tc>
        <w:tc>
          <w:tcPr>
            <w:tcW w:type="dxa" w:w="2351"/>
          </w:tcPr>
          <w:p>
            <w:r>
              <w:rPr>
                <w:rFonts w:ascii="Arial" w:hAnsi="Arial"/>
                <w:sz w:val="18"/>
              </w:rPr>
              <w:t>+18.47 (4.8×10⁻⁴)</w:t>
            </w:r>
          </w:p>
        </w:tc>
        <w:tc>
          <w:tcPr>
            <w:tcW w:type="dxa" w:w="2351"/>
          </w:tcPr>
          <w:p>
            <w:r>
              <w:rPr>
                <w:rFonts w:ascii="Arial" w:hAnsi="Arial"/>
                <w:sz w:val="18"/>
              </w:rPr>
              <w:t>+0.0172 (0.013)</w:t>
            </w:r>
          </w:p>
        </w:tc>
        <w:tc>
          <w:tcPr>
            <w:tcW w:type="dxa" w:w="2351"/>
          </w:tcPr>
          <w:p>
            <w:r>
              <w:rPr>
                <w:rFonts w:ascii="Arial" w:hAnsi="Arial"/>
                <w:sz w:val="18"/>
              </w:rPr>
              <w:t>-0.0003 (0.18)</w:t>
            </w:r>
          </w:p>
        </w:tc>
      </w:tr>
      <w:tr>
        <w:tc>
          <w:tcPr>
            <w:tcW w:type="dxa" w:w="2351"/>
          </w:tcPr>
          <w:p>
            <w:r>
              <w:rPr>
                <w:rFonts w:ascii="Arial" w:hAnsi="Arial"/>
                <w:sz w:val="18"/>
              </w:rPr>
              <w:t>EGFR − WT</w:t>
            </w:r>
          </w:p>
        </w:tc>
        <w:tc>
          <w:tcPr>
            <w:tcW w:type="dxa" w:w="2351"/>
          </w:tcPr>
          <w:p>
            <w:r>
              <w:rPr>
                <w:rFonts w:ascii="Arial" w:hAnsi="Arial"/>
                <w:sz w:val="18"/>
              </w:rPr>
              <w:t>-1.645 (0.73)</w:t>
            </w:r>
          </w:p>
        </w:tc>
        <w:tc>
          <w:tcPr>
            <w:tcW w:type="dxa" w:w="2351"/>
          </w:tcPr>
          <w:p>
            <w:r>
              <w:rPr>
                <w:rFonts w:ascii="Arial" w:hAnsi="Arial"/>
                <w:sz w:val="18"/>
              </w:rPr>
              <w:t>-0.0048 (0.44)</w:t>
            </w:r>
          </w:p>
        </w:tc>
        <w:tc>
          <w:tcPr>
            <w:tcW w:type="dxa" w:w="2351"/>
          </w:tcPr>
          <w:p>
            <w:r>
              <w:rPr>
                <w:rFonts w:ascii="Arial" w:hAnsi="Arial"/>
                <w:sz w:val="18"/>
              </w:rPr>
              <w:t>-0.0001 (0.42)</w:t>
            </w:r>
          </w:p>
        </w:tc>
      </w:tr>
    </w:tbl>
    <w:p>
      <w:r>
        <w:rPr>
          <w:rFonts w:ascii="Arial" w:hAnsi="Arial"/>
          <w:b w:val="0"/>
          <w:color w:val="000000"/>
          <w:sz w:val="22"/>
        </w:rPr>
        <w:t>Table (Section 3.13f). LUAD driver-group contrasts after adjustment for stromal/immune admixture (OLS metric ~ group + z-scored admixture, n = 492 tumors). Admixture differed across driver groups (means WT 23,870 &lt; KRAS 25,655 &lt; EGFR 27,064; Kruskal-Wallis P = 0.003), consistent with the low-purity lepidic growth pattern of EGFR-mutant tumors. After adjustment the KRAS − WT contrast retains both components, whereas EGFR − WT is null on every metric (all P &gt; 0.4) - the apparent EGFR elevation is an admixture artefact.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Model (KRAS − WT)</w:t>
            </w:r>
          </w:p>
        </w:tc>
        <w:tc>
          <w:tcPr>
            <w:tcW w:type="dxa" w:w="1881"/>
          </w:tcPr>
          <w:p>
            <w:r>
              <w:rPr>
                <w:rFonts w:ascii="Arial" w:hAnsi="Arial"/>
                <w:b/>
                <w:sz w:val="18"/>
              </w:rPr>
              <w:t>n</w:t>
            </w:r>
          </w:p>
        </w:tc>
        <w:tc>
          <w:tcPr>
            <w:tcW w:type="dxa" w:w="1881"/>
          </w:tcPr>
          <w:p>
            <w:r>
              <w:rPr>
                <w:rFonts w:ascii="Arial" w:hAnsi="Arial"/>
                <w:b/>
                <w:sz w:val="18"/>
              </w:rPr>
              <w:t>Δω (P)</w:t>
            </w:r>
          </w:p>
        </w:tc>
        <w:tc>
          <w:tcPr>
            <w:tcW w:type="dxa" w:w="1881"/>
          </w:tcPr>
          <w:p>
            <w:r>
              <w:rPr>
                <w:rFonts w:ascii="Arial" w:hAnsi="Arial"/>
                <w:b/>
                <w:sz w:val="18"/>
              </w:rPr>
              <w:t>Δk_f (P)</w:t>
            </w:r>
          </w:p>
        </w:tc>
        <w:tc>
          <w:tcPr>
            <w:tcW w:type="dxa" w:w="1881"/>
          </w:tcPr>
          <w:p>
            <w:r>
              <w:rPr>
                <w:rFonts w:ascii="Arial" w:hAnsi="Arial"/>
                <w:b/>
                <w:sz w:val="18"/>
              </w:rPr>
              <w:t>Δk_n (P)</w:t>
            </w:r>
          </w:p>
        </w:tc>
      </w:tr>
      <w:tr>
        <w:tc>
          <w:tcPr>
            <w:tcW w:type="dxa" w:w="1881"/>
          </w:tcPr>
          <w:p>
            <w:r>
              <w:rPr>
                <w:rFonts w:ascii="Arial" w:hAnsi="Arial"/>
                <w:sz w:val="18"/>
              </w:rPr>
              <w:t>OLS group only</w:t>
            </w:r>
          </w:p>
        </w:tc>
        <w:tc>
          <w:tcPr>
            <w:tcW w:type="dxa" w:w="1881"/>
          </w:tcPr>
          <w:p>
            <w:r>
              <w:rPr>
                <w:rFonts w:ascii="Arial" w:hAnsi="Arial"/>
                <w:sz w:val="18"/>
              </w:rPr>
              <w:t>427</w:t>
            </w:r>
          </w:p>
        </w:tc>
        <w:tc>
          <w:tcPr>
            <w:tcW w:type="dxa" w:w="1881"/>
          </w:tcPr>
          <w:p>
            <w:r>
              <w:rPr>
                <w:rFonts w:ascii="Arial" w:hAnsi="Arial"/>
                <w:sz w:val="18"/>
              </w:rPr>
              <w:t>+13.67 (6.6×10⁻⁴)</w:t>
            </w:r>
          </w:p>
        </w:tc>
        <w:tc>
          <w:tcPr>
            <w:tcW w:type="dxa" w:w="1881"/>
          </w:tcPr>
          <w:p>
            <w:r>
              <w:rPr>
                <w:rFonts w:ascii="Arial" w:hAnsi="Arial"/>
                <w:sz w:val="18"/>
              </w:rPr>
              <w:t>+0.0101 (0.034)</w:t>
            </w:r>
          </w:p>
        </w:tc>
        <w:tc>
          <w:tcPr>
            <w:tcW w:type="dxa" w:w="1881"/>
          </w:tcPr>
          <w:p>
            <w:r>
              <w:rPr>
                <w:rFonts w:ascii="Arial" w:hAnsi="Arial"/>
                <w:sz w:val="18"/>
              </w:rPr>
              <w:t>-0.0004 (0.014)</w:t>
            </w:r>
          </w:p>
        </w:tc>
      </w:tr>
      <w:tr>
        <w:tc>
          <w:tcPr>
            <w:tcW w:type="dxa" w:w="1881"/>
          </w:tcPr>
          <w:p>
            <w:r>
              <w:rPr>
                <w:rFonts w:ascii="Arial" w:hAnsi="Arial"/>
                <w:sz w:val="18"/>
              </w:rPr>
              <w:t>OLS + ever-smoker</w:t>
            </w:r>
          </w:p>
        </w:tc>
        <w:tc>
          <w:tcPr>
            <w:tcW w:type="dxa" w:w="1881"/>
          </w:tcPr>
          <w:p>
            <w:r>
              <w:rPr>
                <w:rFonts w:ascii="Arial" w:hAnsi="Arial"/>
                <w:sz w:val="18"/>
              </w:rPr>
              <w:t>427</w:t>
            </w:r>
          </w:p>
        </w:tc>
        <w:tc>
          <w:tcPr>
            <w:tcW w:type="dxa" w:w="1881"/>
          </w:tcPr>
          <w:p>
            <w:r>
              <w:rPr>
                <w:rFonts w:ascii="Arial" w:hAnsi="Arial"/>
                <w:sz w:val="18"/>
              </w:rPr>
              <w:t>+13.87 (5.9×10⁻⁴)</w:t>
            </w:r>
          </w:p>
        </w:tc>
        <w:tc>
          <w:tcPr>
            <w:tcW w:type="dxa" w:w="1881"/>
          </w:tcPr>
          <w:p>
            <w:r>
              <w:rPr>
                <w:rFonts w:ascii="Arial" w:hAnsi="Arial"/>
                <w:sz w:val="18"/>
              </w:rPr>
              <w:t>+0.0097 (0.043)</w:t>
            </w:r>
          </w:p>
        </w:tc>
        <w:tc>
          <w:tcPr>
            <w:tcW w:type="dxa" w:w="1881"/>
          </w:tcPr>
          <w:p>
            <w:r>
              <w:rPr>
                <w:rFonts w:ascii="Arial" w:hAnsi="Arial"/>
                <w:sz w:val="18"/>
              </w:rPr>
              <w:t>-0.0004 (0.014)</w:t>
            </w:r>
          </w:p>
        </w:tc>
      </w:tr>
      <w:tr>
        <w:tc>
          <w:tcPr>
            <w:tcW w:type="dxa" w:w="1881"/>
          </w:tcPr>
          <w:p>
            <w:r>
              <w:rPr>
                <w:rFonts w:ascii="Arial" w:hAnsi="Arial"/>
                <w:sz w:val="18"/>
              </w:rPr>
              <w:t>OLS + ever-smoker + age + sex</w:t>
            </w:r>
          </w:p>
        </w:tc>
        <w:tc>
          <w:tcPr>
            <w:tcW w:type="dxa" w:w="1881"/>
          </w:tcPr>
          <w:p>
            <w:r>
              <w:rPr>
                <w:rFonts w:ascii="Arial" w:hAnsi="Arial"/>
                <w:sz w:val="18"/>
              </w:rPr>
              <w:t>411</w:t>
            </w:r>
          </w:p>
        </w:tc>
        <w:tc>
          <w:tcPr>
            <w:tcW w:type="dxa" w:w="1881"/>
          </w:tcPr>
          <w:p>
            <w:r>
              <w:rPr>
                <w:rFonts w:ascii="Arial" w:hAnsi="Arial"/>
                <w:sz w:val="18"/>
              </w:rPr>
              <w:t>+13.28 (0.001)</w:t>
            </w:r>
          </w:p>
        </w:tc>
        <w:tc>
          <w:tcPr>
            <w:tcW w:type="dxa" w:w="1881"/>
          </w:tcPr>
          <w:p>
            <w:r>
              <w:rPr>
                <w:rFonts w:ascii="Arial" w:hAnsi="Arial"/>
                <w:sz w:val="18"/>
              </w:rPr>
              <w:t>+0.0115 (0.020)</w:t>
            </w:r>
          </w:p>
        </w:tc>
        <w:tc>
          <w:tcPr>
            <w:tcW w:type="dxa" w:w="1881"/>
          </w:tcPr>
          <w:p>
            <w:r>
              <w:rPr>
                <w:rFonts w:ascii="Arial" w:hAnsi="Arial"/>
                <w:sz w:val="18"/>
              </w:rPr>
              <w:t>-0.0004 (0.022)</w:t>
            </w:r>
          </w:p>
        </w:tc>
      </w:tr>
      <w:tr>
        <w:tc>
          <w:tcPr>
            <w:tcW w:type="dxa" w:w="1881"/>
          </w:tcPr>
          <w:p>
            <w:r>
              <w:rPr>
                <w:rFonts w:ascii="Arial" w:hAnsi="Arial"/>
                <w:sz w:val="18"/>
              </w:rPr>
              <w:t>OLS + ever-smoker + admixture</w:t>
            </w:r>
          </w:p>
        </w:tc>
        <w:tc>
          <w:tcPr>
            <w:tcW w:type="dxa" w:w="1881"/>
          </w:tcPr>
          <w:p>
            <w:r>
              <w:rPr>
                <w:rFonts w:ascii="Arial" w:hAnsi="Arial"/>
                <w:sz w:val="18"/>
              </w:rPr>
              <w:t>427</w:t>
            </w:r>
          </w:p>
        </w:tc>
        <w:tc>
          <w:tcPr>
            <w:tcW w:type="dxa" w:w="1881"/>
          </w:tcPr>
          <w:p>
            <w:r>
              <w:rPr>
                <w:rFonts w:ascii="Arial" w:hAnsi="Arial"/>
                <w:sz w:val="18"/>
              </w:rPr>
              <w:t>+13.64 (3.3×10⁻⁴)</w:t>
            </w:r>
          </w:p>
        </w:tc>
        <w:tc>
          <w:tcPr>
            <w:tcW w:type="dxa" w:w="1881"/>
          </w:tcPr>
          <w:p>
            <w:r>
              <w:rPr>
                <w:rFonts w:ascii="Arial" w:hAnsi="Arial"/>
                <w:sz w:val="18"/>
              </w:rPr>
              <w:t>+0.0099 (0.029)</w:t>
            </w:r>
          </w:p>
        </w:tc>
        <w:tc>
          <w:tcPr>
            <w:tcW w:type="dxa" w:w="1881"/>
          </w:tcPr>
          <w:p>
            <w:r>
              <w:rPr>
                <w:rFonts w:ascii="Arial" w:hAnsi="Arial"/>
                <w:sz w:val="18"/>
              </w:rPr>
              <w:t>-0.0004 (0.011)</w:t>
            </w:r>
          </w:p>
        </w:tc>
      </w:tr>
    </w:tbl>
    <w:p>
      <w:r>
        <w:rPr>
          <w:rFonts w:ascii="Arial" w:hAnsi="Arial"/>
          <w:b w:val="0"/>
          <w:color w:val="000000"/>
          <w:sz w:val="22"/>
        </w:rPr>
        <w:t>Table (Section 3.13g). LUAD smoking-covariate adjustment (ever/never; 427 of 492 tumors with known smoking status). KRAS-mutant tumors were strongly enriched for ever-smokers (94.1% versus 85.6% wild-type and 62.7% EGFR-mutant; χ² = 30.3, P = 2.7×10⁻⁷), yet the KRAS − WT differences are essentially unchanged across adjustments; EGFR − WT was non-significant in every model (all P &gt; 0.10; full values in results/nc49_tcga_luad_smoking.csv). Pack-years (available for 356 patients) were not modeled owing to high missingness and are descriptive only.</w:t>
      </w:r>
    </w:p>
    <w:p>
      <w:r>
        <w:rPr>
          <w:rFonts w:ascii="Arial" w:hAnsi="Arial"/>
          <w:b w:val="0"/>
          <w:color w:val="000000"/>
          <w:sz w:val="22"/>
        </w:rPr>
        <w:t>Panel semantics and composition correction for k_f. Enrichment of the LUAD KRAS tumor-tumor identity panels (all 7,260 KRAS-KRAS pairs, top-200 genes per pair; core panel by the documented frequency fallback) against the 50 MSigDB Hallmark programs found no program surviving multiple-testing correction (top: Estrogen Response Late, q = 0.24; recurrent panel members are dominated by individually variable, sex-linked and secreted markers), indicating that bulk k_f measures broad tissue-state divergence rather than a single tumor-intrinsic program; pair-level regressions of log k_f on pair type with ESTIMATE admixture covariates retained the TT ≥ NN k_f ordering in all five cancer types (adjusted log gaps +0.21 to +0.82, all P ≤ 8.2 × 10⁻⁸⁰), so the k_f group differences are not explained by stromal/immune admixture. Script: notebooks/nc49_tcga_kf_composition.py; output: results/nc49_tcga_kf_composition.csv.</w:t>
      </w:r>
    </w:p>
    <w:p>
      <w:r>
        <w:br w:type="page"/>
      </w:r>
    </w:p>
    <w:p>
      <w:pPr>
        <w:pStyle w:val="Heading2"/>
      </w:pPr>
      <w:r>
        <w:t>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38 cell type entries (each with at least 20 cells in total and at least one mouse contributing at least 10 cells) were retained for pseudobulk construction, spanning 6 organs (Liver, Kidney, Spleen, Lung, Heart, Bone Marrow), yielding C(38, 2) = 703 analyzed pairs.</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ω analysis were required to have ≥ 10 cells in at least one donor and at least 20 cells per entry ("unknown" annotations excluded); 99 of the 102 entries passed these filters, yielding C(99, 2) = 4,851 analyzed pairs.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(493 tumor + 76 normal), LUSC (534 + 58), LIHC (398 + 57), KIRC (750 + 82), BRCA (1,010 + 109), totaling n = 3,567 samples entering the pair-level analysis (29 expression-matrix samples were excluded for missing barcode matching or pair coverage).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Phase 3.2 sweep varied the identity/pathway weighting at a fixed global panel of 2,000 HVGs (Supplementary Table 1); no N_HVG grid was run on the mouse matrix. A diagnostic HVG-size sweep on Tabula Sapiens tested N_HVG in {2,000, 5,000, 10,000, 20,000} (notebooks/05b_phase33_diagnose.py). The pairwise scheme (human) uses N = 200 per-pair genes to maintain discriminative power with computational efficiency.</w:t>
      </w:r>
    </w:p>
    <w:p>
      <w:r>
        <w:rPr>
          <w:rFonts w:ascii="Arial" w:hAnsi="Arial"/>
          <w:b/>
          <w:color w:val="000000"/>
          <w:sz w:val="22"/>
        </w:rPr>
        <w:t>4.5 Kang et al. IFN-beta PBMC (Perturbation Demonstration)</w:t>
      </w:r>
    </w:p>
    <w:p>
      <w:r>
        <w:rPr>
          <w:rFonts w:ascii="Arial" w:hAnsi="Arial"/>
          <w:b w:val="0"/>
          <w:color w:val="000000"/>
          <w:sz w:val="22"/>
        </w:rPr>
        <w:t>Downloaded from GEO (GSE96583; Kang et al. 2018, Nature Biotechnology). The droplet arm was used: two 10x Genomics lanes from eight donors, lane 2.1 control (14,619 cells) and lane 2.2 IFN-beta-stimulated (14,446 cells, 6-hour stimulation), with donor assignment by genetic demultiplexing (demuxlet) provided by the original authors. QC filtering: only droplets annotated as singlets with a cell-type label were retained; Megakaryocytes were excluded; cell types with fewer than 50 cells in any (donor, condition) group were dropped (Dendritic cells). Result: 24,413 cells across six cell types (B cells, CD4 T, CD8 T, NK, CD14+ monocytes, FCGR3A+ monocytes). Ensembl gene identifiers were mapped to HGNC symbols via the HGNC custom download (23,503 unique symbols), and 1,099 HRT Atlas housekeeping genes were matched. Because all control cells reside in one lane and all stimulated cells in the other, condition and lane are confounded; this is disclosed in Supplementary Note 6 and does not affect the within-metric class comparison.</w:t>
      </w:r>
    </w:p>
    <w:p>
      <w:r>
        <w:br w:type="page"/>
      </w:r>
    </w:p>
    <w:p>
      <w:pPr>
        <w:pStyle w:val="Heading2"/>
      </w:pPr>
      <w:r>
        <w:t>Supplementary Note 1: Ground-Truth Simulation</w:t>
      </w:r>
    </w:p>
    <w:p>
      <w:r>
        <w:rPr>
          <w:rFonts w:ascii="Arial" w:hAnsi="Arial"/>
          <w:b w:val="0"/>
          <w:color w:val="000000"/>
          <w:sz w:val="22"/>
        </w:rPr>
        <w:t>Semi-synthetic benchmark. To provide a known ground truth, perturbations of known magnitude were injected into a real single-cell background (Tabula Muris FACS marrow B cells, 1,848 cells). Each replicate resampled two independent groups of 200 cells from the same cell type, so the true functional divergence before injection is zero. The kept gene set mirrored the brain pipeline (1,064 matched HK genes plus the 5,000 non-HK genes with highest global means). Functional signal: multiplicative shift of 2^delta (delta = 0.125-2) on a fixed module of 200 non-HK genes in group B. Neutral perturbations, injected separately: (i) 2^eta shift on HK genes in group A (eta = 0.25-1, neutral drift), (ii) extra Poisson noise across all genes in group A (epsilon = 0.3-1, technical batch noise). Six metrics were computed with the identical code path as the brain analysis: ω, k_f, k_n, raw JS over the full kept gene set, cosine distance, and k_f/k_total. Signal scenarios used three independent module draws (seeds 42, 137, 2024). Detection thresholds were the 95th percentile of 200 baseline replicates (pure cell resampling) per metric, so type-I error and power refer to a common nominal 5% level. 1,750 replicates per background; scripts: notebooks/45_groundtruth_simulation.py (marrow B cells) and notebooks/49_groundtruth_sim_background2.py (skin keratinocyte stem cells; runtime about 1 minute each).</w:t>
      </w:r>
    </w:p>
    <w:p>
      <w:r>
        <w:rPr>
          <w:rFonts w:ascii="Arial" w:hAnsi="Arial"/>
          <w:b w:val="0"/>
          <w:color w:val="000000"/>
          <w:sz w:val="22"/>
        </w:rPr>
        <w:t>Type-I error under neutral perturbation. Under pure HK drift (eta = 0.25-1, pooled), exceedance rates were: ω 0.000, k_f 0.007, k_n 0.813, raw JS 0.553, cosine 0.580, k_f/k_total 0.000. Exact Clopper-Pearson intervals: ω 0/150 under pure HK drift (one-sided 95% upper bound 0.0198; 2/250 pooled neutral replicates, 95% CI [0.001, 0.029]); raw JS 0.553 (95% CI [0.470, 0.635]); cosine 0.580 (95% CI [0.497, 0.660]). Under global overdispersion noise (epsilon = 0.3-1, pooled): ω 0.020 (95% CI [0.002, 0.070]), k_f 0.020, k_n 0.060, raw JS 0.040, cosine 0.040. Standard unnormalized metrics cannot distinguish neutral drift from functional divergence; ω and the ratio variants reject neutral drift almost perfectly.</w:t>
      </w:r>
    </w:p>
    <w:p>
      <w:r>
        <w:rPr>
          <w:rFonts w:ascii="Arial" w:hAnsi="Arial"/>
          <w:b w:val="0"/>
          <w:color w:val="000000"/>
          <w:sz w:val="22"/>
        </w:rPr>
        <w:t>Power for injected functional signal (detection rate, pooled over three module seeds; thresholds calibrated at the 95th percentile of the baseline distribution). delta = 0.125: ω 0.013, k_f 0.013, raw JS 0.040, cosine 0.060. delta = 0.25: ω 0.000, k_f 0.013, raw JS 0.053, cosine 0.060. delta = 0.5: ω 0.000, k_f 0.000, raw JS 0.140, cosine 0.100. delta = 1: ω 0.000 (all three module seeds), k_f 0.013, raw JS 0.993, cosine 0.667. delta = 2: ω 0.133 (per-seed 0.12-0.16), k_f 0.153, raw JS 1.000, cosine 1.000. The ω detection floor is structural: the per-pair top-200 selection saturates with noise under the null (median baseline k_f = 0.025), so weak module shifts do not lift k_f above the selection floor, and ω inherits this as an upper-bound estimator. The baseline ω distribution on this background (mean 11.6, 95th percentile 20.8) reproduces the scale of the brain-internal split-half calibration baseline (9.73), supporting external validity.</w:t>
      </w:r>
    </w:p>
    <w:p>
      <w:r>
        <w:rPr>
          <w:rFonts w:ascii="Arial" w:hAnsi="Arial"/>
          <w:b w:val="0"/>
          <w:color w:val="000000"/>
          <w:sz w:val="22"/>
        </w:rPr>
        <w:t>Confounded scenarios (delta = 0.5 plus neutral HK drift). Detection rates: eta = 0.25: ω 0.000, raw JS 0.260, cosine 0.140; eta = 0.5: ω 0.000, raw JS 0.960, cosine 0.940; eta = 1: ω 0.000, raw JS 1.000, cosine 1.000. Neutral drift suppresses ω further through the inflated denominator while inflating the unnormalized metrics (which count drift as divergence).</w:t>
      </w:r>
    </w:p>
    <w:p>
      <w:r>
        <w:rPr>
          <w:rFonts w:ascii="Arial" w:hAnsi="Arial"/>
          <w:b w:val="0"/>
          <w:color w:val="000000"/>
          <w:sz w:val="22"/>
        </w:rPr>
        <w:t>Discrimination and robustness. ROC AUC for separating functional (delta ≥ 0.25) from neutral (HK drift or global overdispersion) replicates: ω 0.804 &gt; k_f 0.716 &gt; raw JS 0.640 &gt; cosine 0.584 &gt; k_f/k_total 0.437 &gt; k_n 0.213. Under a fourfold cell-count imbalance (n_B = 50, delta = 1), ω changed by −32% (8.47 versus 12.46) while k_f inflated by +67% and cosine by +108%; 30% dropout and a twofold depth difference produced no systematic shift in ω. Module-size sensitivity at delta = 1: m = 50 (ω mean 11.99), m = 200 (12.46), m = 500 (7.31; large modules shift total library composition, which leaks into k_n and suppresses ω). Interpretation: ω is a specificity-first screen; its construction rejects neutral drift, at the cost of bounded power for weak-to-moderate functional signals.</w:t>
      </w:r>
    </w:p>
    <w:p>
      <w:r>
        <w:rPr>
          <w:rFonts w:ascii="Arial" w:hAnsi="Arial"/>
          <w:b w:val="0"/>
          <w:color w:val="000000"/>
          <w:sz w:val="22"/>
        </w:rPr>
        <w:t>Second-background replication. The entire design was repeated in Tabula Muris FACS skin keratinocyte stem cells (1,371 cells; script notebooks/49_groundtruth_sim_background2.py; results/groundtruth_simulation_background2*.csv) with identical grids, module seeds, group sizes, and code path. Type-I error under pure HK drift: ω 0.000, versus 0.780 for raw JS and 0.787 for cosine (both more inflated than in the marrow background); under global overdispersion noise: ω 0.080, k_f 0.080. AUCs: ω 0.908 &gt; k_f 0.859 &gt; raw JS 0.649 &gt; cosine 0.608 &gt; k_f/k_total 0.539 &gt; k_n 0.207 (identical ordering to the marrow background). Detection power at delta = 1: ω 0.913, k_f 0.927, raw JS 1.000; at delta = 2: ω 0.993. Under the fourfold cell-count imbalance (n_B = 50, delta = 1), k_f retained higher power than ω (0.98-1.00 versus 0.04-0.20 at delta = 0.25 and delta = 1). Both backgrounds are Tabula Muris FACS samples of the same platform, so the replication establishes robustness across tissues and library depths within that platform, not across platforms.</w:t>
      </w:r>
    </w:p>
    <w:p>
      <w:r>
        <w:rPr>
          <w:rFonts w:ascii="Arial" w:hAnsi="Arial"/>
          <w:b w:val="0"/>
          <w:color w:val="000000"/>
          <w:sz w:val="22"/>
        </w:rPr>
        <w:t>Adversarial circularity scenarios. The neutral-drift null above places the null perturbation on HK genes, which is the same anchoring assumption that CKI itself makes; the type-I and AUC advantages above are therefore conditional on that assumption rather than evidence for it. Two adversarial scenarios quantify the consequences (script notebooks/75_sim_circularity_scenarios.py; results: results/sim_circularity_*.csv; same background, gene set, six-metric code path, and baseline null thresholds as above; three module seeds per scenario, 50 replicates each). S1, functional-on-HK: a functional module of 200 genes was drawn from the HK genes themselves and shifted by 2^delta (delta = 0.25, 0.5, 1, 2; 600 replicates). ω detected none of these signals (rate 0.000 at every delta, all seeds), because an HK-located shift inflates k_n while k_f stays at the selection floor, driving ω down, away from its upper tail; k_n itself fires at 0.61 for delta = 0.25 and 1.00 thereafter, and the unnormalized metrics detect the signal at moderate-to-strong magnitude (k_total 0.06/0.11/0.95/1.00 and cosine 0.06/0.10/0.85/1.00 across the delta grid). CKI is thus structurally blind to functional signal located on the anchor genes - an unavoidable property of any HK-anchored normalization, and the mirror image of its claimed advantage. S2, neutral-on-nonHK: neutral drift (2^eta, eta = 0.25, 0.5, 1) was instead placed on a module of non-HK genes (450 replicates), i.e., drift on the wrong side of the anchor. ω remained at or below the nominal level (type-I error 0.020, 0.007, 0.007 across the eta grid), whereas k_total false-positived at 0.060, 0.147, and 1.000 and cosine at 0.060, 0.100, and 0.673. ω therefore trades a structural blind spot for HK-located signal for strong specificity against non-HK drift: it is conservative by construction, and its discrimination advantage holds exactly when functional signal lies off the anchor and drift on the anchor is neutral. Users whose perturbations of interest include housekeeping genes (e.g., metabolic reprogramming) should use unnormalized metrics alongside ω.</w:t>
      </w:r>
    </w:p>
    <w:p>
      <w:pPr>
        <w:pStyle w:val="Heading2"/>
      </w:pPr>
      <w:r>
        <w:t>Supplementary Note 2: Small-Cluster Bootstrap Corrections for Region-Clustered CIs</w:t>
      </w:r>
    </w:p>
    <w:p>
      <w:r>
        <w:rPr>
          <w:rFonts w:ascii="Arial" w:hAnsi="Arial"/>
          <w:b w:val="0"/>
          <w:color w:val="000000"/>
          <w:sz w:val="22"/>
        </w:rPr>
        <w:t>Several brain intervals rest on only 6–7 region clusters (Bergmann glia 7; choroid plexus 6), where the percentile cluster bootstrap under-covers. A Monte Carlo coverage study (2,000 simulations × B = 999; nominal 95%) gives coverage 0.876 (7 clusters) and 0.873 (6 clusters) for the percentile interval, 0.816/0.806 for the wild (Rademacher) cluster bootstrap—worse, because 2⁶–2⁷ sign combinations give coarse tails and the symmetric perturbation cannot reproduce the few-cluster skewness—and 0.953/0.951 for the studentized bootstrap-t, which is therefore the recommended replacement for every statistic resting on ≤ 7 region clusters (seed 20260905; B = 5,000 on the real data).</w:t>
      </w:r>
    </w:p>
    <w:p>
      <w:r>
        <w:rPr>
          <w:rFonts w:ascii="Arial" w:hAnsi="Arial"/>
          <w:b w:val="0"/>
          <w:color w:val="000000"/>
          <w:sz w:val="22"/>
        </w:rPr>
        <w:t>Replacement 95% intervals (studentized bootstrap-t): Bergmann-glia class-mean ω 13.56: [5.76, 28.59] (was percentile [8.49, 19.52])—the lower bound now falls below the class baseline 9.08, so the above-baseline claim for Bergmann glia is downgraded to a qualitative statement (cross-region ω elevated in absolute terms but not separable from baseline at 7 regions; consistent with the joint calibrated-ω CI [0.99, 2.12], which already includes 1). Choroid plexus 37.76: [25.93, 76.30] (was [27.30, 56.19])—the lower bound remains far above its baseline 10.66, so the choroid divergence claim stands. Astrocyte/Bergmann-glia calibrated gradient 5.99: [4.43, 7.69] (was joint percentile [4.12, 9.18])—all three methods agree the lower bound exceeds 4, so the gradient claim remains quantitative. Script notebooks/89_cluster_boot_v45.py; report results/cluster_boot_v45_report.md.</w:t>
      </w:r>
    </w:p>
    <w:p>
      <w:pPr>
        <w:pStyle w:val="Heading2"/>
      </w:pPr>
      <w:r>
        <w:t>Supplementary Note 3: Calibrated Omega Normalization</w:t>
      </w:r>
    </w:p>
    <w:p>
      <w:r>
        <w:rPr>
          <w:rFonts w:ascii="Arial" w:hAnsi="Arial"/>
          <w:b w:val="0"/>
          <w:color w:val="000000"/>
          <w:sz w:val="22"/>
        </w:rPr>
        <w:t>The theoretical baseline ω = 1 (k_f = k_n) is never observed in practice because identity-gene selection (per-pair top-200 DE genes or HVGs) systematically inflates k_f relative to k_n. Empirical calibration on split-half equivalent populations (mouse, 6 FACS control populations with 50 independent random split-halves each; 300 split-half ω values; Section 3.10) yielded a replicate-baseline mean ω = 7.70 (95% CI [7.37, 8.02], bootstrap B = 10,000 [7.38, 8.02]); the legacy single-split estimate 6.67 [4.24, 9.24] lies inside the overlap of the two CIs and is superseded. We introduce calibrated ω: omega_cal = omega_obs / 7.70, which rescales all values so that equivalent populations yield omega_cal ~ 1.0. Given the width of the baseline CI, calibrated values are reported with at most two significant figures and should be read as order-of-magnitude estimates rather than precise quantities. Under this mouse-derived calibration: mouse controls yield omega_cal = 1.0, the brain global mean becomes omega_cal ≈ 5 (raw 38.55; range 4.8–5.2 across the baseline CI), and the most divergent brain cell type (astrocytes) yields omega_cal ≈ 11 (raw 82.75). A scheme-matched split-half calibration performed inside the brain atlas itself (29 populations with at least 200 nuclei; B = 50 random splits per population) gave an internal baseline of 9.73 (95% bootstrap CI [9.03, 10.53]), approximately 1.3-fold higher than the mouse-derived factor, indicating that the mouse-derived calibration overstates omega_cal in the brain dataset. Under the brain-internal baseline, the brain global mean corresponds to omega_cal ≈ 4.0, the most divergent class to omega_cal ≈ 8.5, and the most constrained class (Bergmann glia) to omega_cal ≈ 1.4 (raw 13.56): the most regionally constrained class sits at, not above, the split-half expectation for equivalent brain populations, so the statement that all ten non-neuronal classes diverge beyond the split-half baseline holds only under the mouse-derived calibration and is not supported under brain-internal calibration. In Tabula Sapiens, the analogous scheme-matched internal baseline was 7.67 (95% bootstrap CI [7.39, 8.00]; 71 populations from the largest donor per group), which lies inside the updated mouse-derived CI [7.37, 8.02], so the mouse-derived calibration factor is transferable to the Tabula Sapiens dataset but not to the brain atlas, and omega_cal should be treated as a dataset-relative quantity rather than a universal constant. A single brain-wide baseline also averages over marked between-class heterogeneity: class-specific split-half baselines derived from the same 29 split-half populations range from 7.58 (microglia) to 12.52 (committed oligodendrocyte precursor), a 1.65-fold spread, and the split-half k_f floor itself varies roughly 40-fold across classes (from 0.0001 in oligodendrocytes to 0.020 in committed oligodendrocyte precursors), so the equivalent-population expectation is a class-specific quantity in both components rather than a single atlas-wide constant; each class baseline rests on only 2-3 split-half populations (50 splits per population), so the calibrated levels carry non-trivial denominator uncertainty (two-stage 95% CIs span, for example, [8.25, 10.32] for astrocytes and [8.71, 9.47] for Bergmann glia, the latter from only 2 populations). Under per-class baselines the astrocyte-to-Bergmann-glia gradient is 5.99 (95% CI [4.12, 9.18] under a joint region-clustered bootstrap that resamples region pairs and split-half populations together, propagating both sources of calibration uncertainty; the narrower i.i.d.-numerator CI [4.86, 7.42] ignores within-region correlation and is anti-conservative), essentially unchanged from the raw 6.10 because the two classes’ own baselines nearly coincide (9.26 vs 9.08), while the calibrated levels compress: astrocytes yield omega_cal = 8.9 (95% CI [7.8, 10.2]) and Bergmann glia omega_cal = 1.49 (joint 95% CI [0.99, 2.12], which no longer excludes 1). Bergmann glia is therefore borderline against its own class baseline (region-clustered CI [8.49, 19.52] versus baseline 9.08; the class contributes only 7 regions, so the interval’s lower edge is itself sensitive to bootstrap resampling): under per-class baselines 9 of 10 classes have region-clustered class-mean CIs excluding their own baselines (versus 9 of 10 under the single brain-wide baseline and 10 of 10 under the mouse-derived factor), and under the joint region-clustered bootstrap of the calibrated ratio (notebooks/81_perclass_uncertainty.py, B = 5,000) 9 of 10 classes have joint 95% CIs excluding 1, with Bergmann glia the borderline exception under both internal calibrations; its excess is small (+49%) and rests on only 21 pairs across 7 intra-cerebellar regions, so we read it as "at, or marginally above, its own expectation" rather than clear divergence. Because a shared calibration constant cancels in any ratio of class means, external calibration changes the levels (astrocytes 10.75 under mouse-derived versus 8.51 under brain-internal) but not the gradient ratio; only class-specific baselines move the ratio, and then only slightly. We therefore recommend per-class split-half calibration whenever within-dataset class contrasts are the target, and treat omega_cal as dataset- and class-relative throughout. The calibrate_omega() function is available in the CKI package (cki.calibrate_omega). Both raw and calibrated ω values are reported in all key results. (Supplementary Fig. 2.)</w:t>
      </w:r>
    </w:p>
    <w:p>
      <w:r>
        <w:rPr>
          <w:rFonts w:ascii="Arial" w:hAnsi="Arial"/>
          <w:b w:val="0"/>
          <w:color w:val="000000"/>
          <w:sz w:val="22"/>
        </w:rPr>
        <w:t>Small-cluster correction (Supplementary Note 2). A Monte Carlo coverage study shows that the percentile region-clustered bootstrap under-covers by 7–8 points at 6–7 clusters (coverage 0.876/0.873 at nominal 0.95), so the Bergmann-glia and choroid-plexus class-mean CIs quoted above are too narrow. Under the recommended studentized bootstrap-t (coverage 0.953/0.951): Bergmann glia 13.56 [5.76, 28.59] (was [8.49, 19.52])—the lower bound now falls below the class baseline 9.08, so the above-baseline claim is downgraded to a qualitative statement (cross-region ω elevated in absolute terms, not separable from baseline at 7 regions); choroid plexus 37.76 [25.93, 76.30] (was [27.30, 56.19])—the lower bound remains far above its baseline 10.66, so the choroid claim stands; the astrocyte/Bergmann-glia gradient 5.99 [4.43, 7.69] (was [4.12, 9.18])—the gradient claim remains quantitative.</w:t>
      </w:r>
    </w:p>
    <w:p>
      <w:pPr>
        <w:pStyle w:val="Heading2"/>
      </w:pPr>
      <w:r>
        <w:t>Supplementary Note 4: Ratio-Estimator Bias–Variance Characterization</w:t>
      </w:r>
    </w:p>
    <w:p>
      <w:r>
        <w:rPr>
          <w:rFonts w:ascii="Arial" w:hAnsi="Arial"/>
          <w:b w:val="0"/>
          <w:color w:val="000000"/>
          <w:sz w:val="22"/>
        </w:rPr>
        <w:t>ω = k_f/k_n is a ratio of two JS divergences, and ratio estimators are upward biased and heavy right-tailed when the denominator is small. On the 1,450 split-half replicates of the brain-internal calibration (both halves of each split are the same population, so E[k_f/k_n] versus E[k_f]/E[k_n] isolates pure ratio bias), the bias is small and null-calibrated: median +0.2% across the 29 class × region groups (pooled −1.8%), tracked almost exactly by the second-order delta-method prediction (Spearman ρ = 0.99 for bias, 1.00 for SD). The largest upward bias sits in the smallest-denominator bin (k_n &lt; 10⁻⁴: +6.5%; 10⁻⁴ ≤ k_n &lt; 10⁻³: −8.3%; k_n ≥ 10⁻³: +1.5%), where delta-method theory predicts it; because the calibration baseline is computed with the same estimator on the same scale of k_n, this bias is absorbed into the baseline. The null distribution is heavy-tailed (skew 2.28, excess kurtosis 9.14, P99/P50 = 2.1), which widens intervals but does not shift calibrated conclusions.</w:t>
      </w:r>
    </w:p>
    <w:p>
      <w:r>
        <w:rPr>
          <w:rFonts w:ascii="Arial" w:hAnsi="Arial"/>
          <w:b w:val="0"/>
          <w:color w:val="000000"/>
          <w:sz w:val="22"/>
        </w:rPr>
        <w:t>On the 31,764 brain pairs, the astrocyte/Bergmann-glia gradient is robust to the summary statistic (6.10 mean, 6.00 median, 6.09 10% trimmed; 10-class ranking agreement Spearman ρ ≥ 0.976), so the mean-based headline is not a heavy-tail artifact. Near-zero denominators are rare and non-influential: 1 pair (0.003%) has k_n &lt; 10⁻⁴ and 141 (0.44%) have k_n &lt; 3 × 10⁻⁴; excluding all pairs with k_n &lt; 5 × 10⁻⁴ (1,141 pairs, 3.59%) moves the gradient slightly up, to 6.52, with the class ranking unchanged (ρ = 1.000), and even dropping the bottom 20% by k_n leaves ρ = 0.964—the 6.10-fold headline is, if anything, conservative with respect to small-denominator pairs. Script notebooks/88_ratio_estimator_v45.py; report results/ratio_estimator_biasvar_v45_report.md.</w:t>
      </w:r>
    </w:p>
    <w:p>
      <w:pPr>
        <w:pStyle w:val="Heading2"/>
      </w:pPr>
      <w:r>
        <w:t>Supplementary Note 5: Non-HK-Anchored Neutral Drift Controls</w:t>
      </w:r>
    </w:p>
    <w:p>
      <w:r>
        <w:rPr>
          <w:rFonts w:ascii="Arial" w:hAnsi="Arial"/>
          <w:b w:val="0"/>
          <w:color w:val="000000"/>
          <w:sz w:val="22"/>
        </w:rPr>
        <w:t>The ground-truth simulation (Supplementary Note 1) defines neutral drift as a multiplicative shift on housekeeping genes—the same set ω uses as its denominator—so the headline specificity (FPR 0.00 versus 0.55–0.58 for raw JS and cosine) could be a construction artifact. Two non-HK-anchored neutral models on the identical background and scheme (30 replicates per condition; thresholds at the 95th percentile of 200 pure-resampling baselines; Clopper-Pearson CIs) answer this. N0 (internal control, original HK drift) reproduces the original run (ω 0.000; raw JS 0.556; cosine 0.600, pooled over η).</w:t>
      </w:r>
    </w:p>
    <w:p>
      <w:r>
        <w:rPr>
          <w:rFonts w:ascii="Arial" w:hAnsi="Arial"/>
          <w:b w:val="0"/>
          <w:color w:val="000000"/>
          <w:sz w:val="22"/>
        </w:rPr>
        <w:t>N1 (multiplicative drift moved off HK genes: random low-variance non-HK sets, bottom-half CV, greedy log-mean matched to the HK set, n = 1,064 genes, 3 random sets): ω stays calibrated—FPR 0.067, 0.011, and 0.000 at η = 0.25, 0.5, and 1.0, versus raw JS 0.067/0.811/1.000 and cosine 0.089/0.878/1.000 at the same amplitudes. The /1e4 renormalization propagates the library inflation into a uniform compositional scaling that k_n absorbs, so ω’s specificity comes from its ratio structure, not from the drift being HK-anchored. Supplementary Note 1’s earlier non-HK drift scenario (type-I error 0.020) used a different, non-expression-matched non-HK module; N1 is the stricter expression-matched control. N2 (composition-preserving gene-identity swap of non-HK expression profiles within one group; 0.25–1 × n_hk swapped genes, 3 random pairings): every metric fires at FPR = 1.00. The swap preserves library size and the expression-value multiset exactly, so k_n sees no compositional signal while the swapped genes dominate the per-pair top-200 set and k_f fires. Whether N2 counts as neutral is debatable—reassigning which gene carries which expression level is precisely a gene-identity-specific change, which ω is designed to detect—but under it ω behaves no worse than anchor-free global metrics. The FPR = 0.00 figure thus pertains to compositional/multiplicative neutral drift, whether HK- or non-HK-anchored. Script notebooks/90_nonhk_drift_v45.py; report results/nonhk_drift_v45_report.md.</w:t>
      </w:r>
    </w:p>
    <w:p>
      <w:pPr>
        <w:pStyle w:val="Heading2"/>
      </w:pPr>
      <w:r>
        <w:t>Supplementary Note 6: Real Perturbation Demonstration (Kang et al. IFN-beta PBMC)</w:t>
      </w:r>
    </w:p>
    <w:p>
      <w:r>
        <w:rPr>
          <w:rFonts w:ascii="Arial" w:hAnsi="Arial"/>
          <w:b w:val="0"/>
          <w:color w:val="000000"/>
          <w:sz w:val="22"/>
        </w:rPr>
        <w:t>Purpose and dataset. To test ω on a real perturbation with known ground truth, we re-analyzed the droplet arm of Kang et al. 2018 (GEO: GSE96583): peripheral blood mononuclear cells from eight donors, split into control and 6-hour IFN-beta-stimulated conditions and captured in two 10x lanes (lane 2.1 control, 14,619 cells; lane 2.2 stimulated, 14,446 cells), with donor assignment by genetic demultiplexing provided by the original authors. Singlets with annotated cell types were retained (24,413 cells across six cell types; Megakaryocytes excluded; Dendritic cells dropped for insufficient per-group cells). Ensembl gene identifiers were mapped to HGNC symbols via the HGNC custom download; 23,503 unique symbols and 1,099 HRT Atlas housekeeping genes were matched.</w:t>
      </w:r>
    </w:p>
    <w:p>
      <w:r>
        <w:rPr>
          <w:rFonts w:ascii="Arial" w:hAnsi="Arial"/>
          <w:b w:val="0"/>
          <w:color w:val="000000"/>
          <w:sz w:val="22"/>
        </w:rPr>
        <w:t>Design. Pseudobulks were computed per (donor, condition) from raw counts, normalized to 10,000 counts per pseudobulk, and log1p-transformed. Two comparison classes were defined: the perturbation class (stimulated versus control within donor, 4-8 pairs per cell type) and the donor-drift class (donor versus donor within condition, 10-56 pairs per cell type); a split-half baseline (six random half-splits per group) anchored the calibrated scale. All metrics used the per-pair top-200 DE hybrid scheme (k_n on the HK set, k_f on the top-200 non-HK genes by absolute mean difference, re-selected per pair). Significance of the within-donor perturbation effect used condition-label permutation within donor (B = 1,000; genes re-selected at every permutation; one-sided upper tail). Class separability was summarized as the exact rank AUC of each metric within each cell type. Because all control cells sit in one lane and all stimulated cells in the other, the condition effect is confounded with lane; donor-drift pairs are within-lane, so the comparison across metrics is internally consistent but the design does not separate condition from capture effects.</w:t>
      </w:r>
    </w:p>
    <w:p>
      <w:r>
        <w:rPr>
          <w:rFonts w:ascii="Arial" w:hAnsi="Arial"/>
          <w:b w:val="0"/>
          <w:color w:val="000000"/>
          <w:sz w:val="22"/>
        </w:rPr>
        <w:t>Results. Median ω: stimulated-control 19.3-33.4, donor-donor 9.9-25.7, split-half 6.7-18.9 (omega_cal for the perturbation class 1.8-3.4 versus donor-drift 0.9-2.7). AUC (perturbation versus donor-drift): ω 0.551-0.922, k_f 0.743-1.000, raw JS 0.792-1.000. The permutation test reached raw P &lt; 0.05 in 15 of 37 donor-level tests (no multiplicity correction; under the global null roughly two of 37 tests would cross raw P &lt; 0.05, so the aggregate excess is informative while individual tests are not). The components are consistent with the metric ordering: IFN-beta stimulation raises median k_n 1.2-5.7-fold above the donor-drift level (ACTB and GAPDH fall roughly 40% in stimulated cells, a magnitude consistent with the anchor mechanism but not separable from the lane effect) while raising median k_f 1.6-6.8-fold, so the ratio partially cancels the signal; in CD14+ monocytes, where the k_n rise is largest (5.7-fold), the ω AUC falls to 0.551 while k_f retains 0.984. Within the lane-confounded design this supports the anchor-visibility boundary: perturbations that touch the housekeeping anchor deflate ω, and k_f-only with a design-matched null is the more honest statistic in that regime (Supplementary Fig. 3). Script: notebooks/79_kang_ifnb_demo.py; outputs: results/kang_ifnb_demo_pairs.csv (709 pairs), results/kang_ifnb_demo_summary.json.</w:t>
      </w:r>
    </w:p>
    <w:p>
      <w:pPr>
        <w:pStyle w:val="Heading2"/>
      </w:pPr>
      <w:r>
        <w:t>Supplementary Note 7: Fixed Gene-Panel Ablation</w:t>
      </w:r>
    </w:p>
    <w:p>
      <w:r>
        <w:rPr>
          <w:rFonts w:ascii="Arial" w:hAnsi="Arial"/>
          <w:b w:val="0"/>
          <w:color w:val="000000"/>
          <w:sz w:val="22"/>
        </w:rPr>
        <w:t>Design. To test whether the brain conclusions depend on the per-pair circular selection of k_f genes (top-200 genes ranked by the absolute difference of the same two pseudobulks on which k_f is computed), the entire observed brain landscape was recomputed under four gene-selection schemes with identical keep gene set, pseudobulks, and k_n: S0, the reported per-pair top-200 scheme (circular selection; reference); S1, a fixed panel of the 2,000 non-HK genes with the highest global mean expression; S2, a leave-pair-out panel in which the top-200 genes for a pair are selected by the mean absolute difference over all other region pairs of the same cell type (adaptive but not circular for the tested pair; note that S2 is not fully independent either, because the panel still aggregates regional-effect genes from the other region pairs of the same cell type); S3, all 5,000 non-HK genes of the keep set (no selection). The reference implementation reproduced the reported landscape exactly (maximum per-pair ω difference 6.4e-13 over 31,764 pairs). A scheme-matched block-shuffle null (B = 200) was rerun under S2. Script: notebooks/46_fixed_panel_ablation.py (runtime about 28 minutes).</w:t>
      </w:r>
    </w:p>
    <w:p>
      <w:r>
        <w:rPr>
          <w:rFonts w:ascii="Arial" w:hAnsi="Arial"/>
          <w:b w:val="0"/>
          <w:color w:val="000000"/>
          <w:sz w:val="22"/>
        </w:rPr>
        <w:t>Rank robustness. Pair-level Spearman correlation with S0: rho = 0.918 (S1), 0.937 (S2), 0.931 (S3). Ordering of the ten class means: rho = 0.90 (S1), 0.99 (S2), 0.93 (S3); under S2 the only change was a swap of the adjacent Bergmann-glia and vascular means. Astrocyte-to-Bergmann-glia ratio: 6.10 (S0) versus 7.67 (S1), 6.53 (S2), 6.57 (S3) - the gradient is preserved under the non-circular adaptive panel, because non-circular panels deflate ω more strongly in transcriptionally constrained classes. Under the S2-matched block-shuffle null, astrocytes, OPCs and committed OPCs reached the permutation floor (P ≤ 1/(B + 1) = 0.005); fibroblasts remained significant (P = 0.020, versus 0.030 reported); vascular cells reached significance (P = 0.035, versus 0.115 reported, non-significant under the primary null); ependymal cells were not significant (P = 0.164); and the remaining classes stayed clearly non-significant (microglia P = 0.796, oligodendrocytes P = 0.876, choroid plexus P = 0.562, Bergmann glia P = 0.980). The four primary classes are stable across all three null variants; ependymal and vascular appear only under one variant each and are not claimed.</w:t>
      </w:r>
    </w:p>
    <w:p>
      <w:r>
        <w:rPr>
          <w:rFonts w:ascii="Arial" w:hAnsi="Arial"/>
          <w:b w:val="0"/>
          <w:color w:val="000000"/>
          <w:sz w:val="22"/>
        </w:rPr>
        <w:t>Circularity inflation and scale. On the same pairs, the circular panel inflated k_f by a median of 1.61-fold relative to the leave-pair-out panel (IQR 1.27-2.07) and by 6.1- to 7.3-fold relative to the fixed and unselected panels (which also differ in panel composition). The absolute ω scale is therefore scheme-specific (grand mean 38.55 for S0 versus 6.5, 26.5, and 5.3 for S1-S3). Rank-based conclusions are robust: the multiplicative-residual ranking correlated at rho = 0.86-0.88 across schemes, and S2 retained 32 of 50 (64%) of the S0 residual &lt; 0.3 candidate pairs. Absolute tier cutoffs (ω &lt; 15/25/35) are calibrated to the S0 scale and do not transfer across schemes: candidate lists defined by absolute ω thresholds are not comparable across gene-selection schemes. Outputs: results/fixed_panel_ablation_pairs.csv, results/fixed_panel_ablation_ct.csv, results/fixed_panel_ablation_null_&lt;CT&gt;.npy, results/fixed_panel_ablation_summary.json.</w:t>
      </w:r>
    </w:p>
    <w:p>
      <w:pPr>
        <w:pStyle w:val="Heading2"/>
      </w:pPr>
      <w:r>
        <w:t>Supplementary Note 8: TCGA composition-contribution check for the NN/TT k_n reversal</w:t>
      </w:r>
    </w:p>
    <w:p>
      <w:r>
        <w:rPr>
          <w:rFonts w:ascii="Arial" w:hAnsi="Arial"/>
          <w:b w:val="0"/>
          <w:color w:val="000000"/>
          <w:sz w:val="22"/>
        </w:rPr>
        <w:t>The TCGA analysis reports that normal-normal (NN) pairs have systematically lower k_n than tumor-tumor (TT) pairs (median TT/NN ratio 2.2-3.7x across the five cancer types). Because bulk tumor samples differ in cellular composition, this reversal could in principle be a purity artifact. We therefore regenerated sample-labelled NN/TT pairs with the per-cancer pipeline of the main analysis (per-cancer gene loading and mean TPM ≥ 0.5 filtering, log2(TPM+1), HRT Atlas HK genes, top-200 abs-diff identity genes, kn_floor = 1 x 10^-4, seed 42; TT capped at 2,000 pairs per cancer type, all NN pairs; 25,306 pairs in total) and scored each sample for four lineage marker panels: immune (CD3D, CD3E, CD8A, GZMB, NKG7, MS4A1, CD79A), myeloid (CD68, CD163, LST1, FCGR3A, C1QA), stromal (COL1A1, COL1A2, DCN, LUM, FAP, VIM), and epithelial (EPCAM, KRT8, KRT18, KRT19), as the mean log2(TPM+1) over mapped panel genes, z-scored within each cancer type; the myeloid panel was added in a second revision because the initial three-panel check omitted myeloid markers despite myeloid infiltration being a known feature of tumors. The reversal replicates exactly (median TT/NN k_n ratio 2.18, 2.53, 2.18, 3.70, and 2.79 for LUAD, LUSC, LIHC, KIRC, and BRCA; all Mann-Whitney P &lt; 10^-90). Composition differences are real and directional: the median |Delta z| between pair members is 1.33-1.46-fold larger for TT than NN pairs across the original three panels (all P &lt; 10^-300), and with the myeloid panel included the overall four-panel |Delta z| is still 1.24-fold larger for TT pairs (median 0.834 vs 0.673; P = 9 x 10^-77); notably, the myeloid |Delta z| itself does not differ between TT and NN pairs (median 0.749 vs 0.747, ratio 1.003, P = 0.99), so myeloid composition shifts are not preferentially a tumor-pair phenomenon in these data. Within TT pairs, k_n correlates with the overall four-panel composition difference (Spearman rho = 0.23-0.52 per cancer type; pooled rho = 0.387, P &lt; 10^-300; three-panel pooled rho = 0.377). In OLS regressions of log k_n on pair type plus the composition deltas, the tumor-pair coefficient attenuation depends materially on the panel: the original three-panel model attenuated the coefficient by +5.7% pooled (95% CI [+2.7%, +8.7%]; per cancer type +2%, +4%, +39%, +23%, and −12%), whereas the four-panel model including the myeloid markers attenuates it by −0.5% pooled (95% CI [−3.2%, +2.6%]; median −0.4%), i.e., the pooled tumor-pair coefficient is essentially unchanged after composition adjustment. All regression uncertainty intervals are sample-level cluster bootstraps (B = 200): within each cancer type, tumor and normal samples are resampled with replacement, a pair is retained when both members are drawn, weighted by the product of the two members resampling multiplicities, and the weighted OLS is recomputed; this respects the dependence structure that each sample contributes to many pairs (the naive pair-level standard errors, which treat 25,306 pairs as independent, overstate precision and are not used for inference); at B = 200 resamples the Monte-Carlo error of an endpoint of the resampling distribution is roughly 1-2 percentage points, small relative to the reported interval widths, and the pooled [−3.2%, +2.6%] interval is interpreted only as excluding large pooled attenuation, not as a precise point estimate. Per-cancer four-panel attenuation is strongly heterogeneous: LUAD −2.3% (95% CI [−7.6%, +4.8%]), LUSC −9.7% ([−28.4%, +6.7%]), LIHC +33.5% ([+23.0%, +46.9%]), KIRC +19.6% ([+14.6%, +25.7%]), and BRCA −14.0% ([−23.2%, −5.7%]), so composition covariates absorb a substantial share of the tumor-pair coefficient in LIHC and KIRC but not in the other cancer types, and the pooled near-zero estimate masks this heterogeneity. Two caveats bound the interpretation. First, marker panels are noisy proxies for true cellular composition (classical measurement error attenuates the covariate coefficients), so these attenuation estimates are lower bounds on the true composition contribution; the pooled excess of tumor-pair k_n is not fully explained by a noisy marker-panel proxy, but neither can a marker-panel regression exclude composition as the driver. Second, the per-cancer heterogeneity itself (from −14% to +34%) argues against a single universal explanation. Plausible contributors to the residual include tumor-specific housekeeping-gene dysregulation and RNA-quality differences, and single-cell or deconvolution-based validation remains necessary. Scripts: notebooks/73_tcga_composition_check.py (three-panel) and notebooks/74_tcga_composition_v2.py (four-panel + cluster bootstrap); results: results/tcga_composition_check.{csv,txt}, results/tcga_composition_pairs.csv, and results/tcga_composition_v2.{csv,txt}.</w:t>
      </w:r>
    </w:p>
    <w:p>
      <w:r>
        <w:rPr>
          <w:rFonts w:ascii="Arial" w:hAnsi="Arial"/>
          <w:b w:val="0"/>
          <w:color w:val="000000"/>
          <w:sz w:val="22"/>
        </w:rPr>
        <w:t>Linear-normalization update. The composition check was re-run on the linear-normalization pair table of Section 1.7 (script notebooks/86_tcga_composition_linear_norm_v44.py, mirroring script 74 with the four marker panels and the sample-level cluster bootstrap, B = 200; outputs results/tcga_composition_v44.{csv,txt}). All conclusions are unchanged: pooled four-panel attenuation −0.8% (cluster-bootstrap median −1.2%, 95% CI [−4.1%, +2.6%]); per-cancer attenuation LIHC +37.1% [+27.1%, +51.5%], KIRC +18.3% [+13.9%, +23.4%], BRCA −16.2% [−25.5%, −7.5%], LUAD −1.6%, LUSC −11.1%; the within-TT correlation of k_n with the composition difference is Spearman ρ = 0.355 pooled (per-cancer 0.146–0.492). Composition covariates still absorb a substantial share of the tumor-pair coefficient in LIHC and KIRC but not in the other cancer types, and the pooled near-zero estimate still masks this heterogeneity.</w:t>
      </w:r>
    </w:p>
    <w:p>
      <w:pPr>
        <w:pStyle w:val="Heading2"/>
      </w:pPr>
      <w:r>
        <w:t>Supplementary Note 9: k_f-only Ordering Controls (Cross-Organ Ranking and TCGA Severity)</w:t>
      </w:r>
    </w:p>
    <w:p>
      <w:r>
        <w:rPr>
          <w:rFonts w:ascii="Arial" w:hAnsi="Arial"/>
          <w:b w:val="0"/>
          <w:color w:val="000000"/>
          <w:sz w:val="22"/>
        </w:rPr>
        <w:t>Purpose. Two ordering claims in the manuscript rest on the ratio ω = k_f / k_n: the cross-organ conservation ranking of cell types (Table 2 / Fig. 6) and the TCGA clinical-severity gradients (Edmondson grade, PAM50, LUAD mutation strata). This note reports the control in which each ordering is recomputed using k_f alone (and k_n alone), with the identical pipeline otherwise, to separate functional-divergence signal from denominator effects.</w:t>
      </w:r>
    </w:p>
    <w:p>
      <w:r>
        <w:rPr>
          <w:rFonts w:ascii="Arial" w:hAnsi="Arial"/>
          <w:b w:val="0"/>
          <w:color w:val="000000"/>
          <w:sz w:val="22"/>
        </w:rPr>
        <w:t>Cross-organ ranking (Tabula Sapiens). The exact phase-3.5 pipeline (largest-donor pseudobulks, per-pair top-200 non-HK gene selection) was re-run on the 59 same-cell-type cross-organ pairs across 17 cell types; it reproduces the published per-cell-type mean ω values to within 3.6e-15. Agreement between the ω and k_f orderings is weak at the cell-type level: Spearman r = 0.23 (P = 0.37, n = 17), and r = 0.10 (P = 0.87) among the 5 well-sampled types (n ≥ 5 pairs); per-pair agreement is moderate (r = 0.44, P = 5.7 × 10⁻⁴, n = 59). Mean ω correlates negatively with mean k_n (r = -0.31, P = 0.23). Organ-clustered bootstrap 95% CIs (B = 1,000, seed 42; organs resampled with replacement, all statistics recomputed per resample; notebooks/87_cross_organ_rho_ci_v44.py): the cell-type-level ρ(ω, k_f) = 0.23 has 95% CI [−0.08, +0.38], spanning zero, whereas ρ(ω, k_n) = −0.31 has 95% CI [−0.61, −0.17], excluding zero — the interval estimates support a denominator-driven ordering. CD8+ T cells are the most conserved well-sampled type under both ω and k_f, and the divergent end is directionally consistent (endothelial cells and erythrocytes carry the highest mean k_f among multi-pair types), but the middle of the ordering does not reproduce: NK cells rank most divergent under ω yet second-most conserved under k_f among well-sampled types. The cross-organ ranking is therefore a composite of functional divergence and baseline differences, not a pure k_f ordering. Full per-cell-type table: results/kf_only_ordering.csv.</w:t>
      </w:r>
    </w:p>
    <w:p>
      <w:r>
        <w:rPr>
          <w:rFonts w:ascii="Arial" w:hAnsi="Arial"/>
          <w:b w:val="0"/>
          <w:color w:val="000000"/>
          <w:sz w:val="22"/>
        </w:rPr>
        <w:t>TCGA clinical-severity gradients (per-tumor mean of intratumoral TT pairs; values below are from the linear-normalization re-analysis at kn_floor = 0, notebooks/85_tcga_linear_norm_v44.py, results/tcga_clinical_severity_v44.csv, which mirrors the published pipeline of notebooks/83_kf_only_ordering.py; ordering, direction, and significance are identical to the earlier softmax run, with ω levels shifted upward by about 5-20). LIHC Edmondson grade: mean ω is highest in G1, roughly flat across G2–G3, and lowest in G4 (78.2, 76.8, 77.9, 72.6 for G1–G4; Jonckheere-Terpstra P ≈ 0), but k_f increases with grade (JT P = 6.9 × 10⁻¹⁵) and k_n increases in parallel (JT P ≈ 0), so the ω gradient is a denominator effect. BRCA PAM50: mean ω decreases across Luminal A (142.0), Luminal B (136.5), HER2-enriched (121.8), Basal-like (116.7), and Normal-like (101.9) (Kruskal-Wallis P = 7.0 × 10⁻⁷); the ordering largely reverses under k_f-only, consistent with the lowest mean k_n in Luminal A, so the ω heterogeneity gradient is predominantly a baseline effect. LUAD mutation strata: the contrast persists under k_f-only (mean ω KRAS 136.9 &gt; EGFR 122.2 &gt; wild-type 115.4; Kruskal-Wallis P = 7.8 × 10⁻⁷ for ω; k_f P = 0.015; k_n P = 3.4 × 10⁻⁴), with k_n lowest in EGFR-mutant tumors, so part of the ω contrast is denominator-driven. The main text reports only the LUAD driver-mutation contrast as a primary result; the LIHC Edmondson and BRCA PAM50 gradients are reported here as denominator-dominated vignettes (Supplementary Fig. 4b), and the full values and test details live here. The k_f-only controls are post-hoc; the P-values reported here (three severity analyses crossed with three metrics) are nominal and carry no multiplicity correction. Scripts: notebooks/83_kf_only_ordering.py (published softmax run) and notebooks/85_tcga_linear_norm_v44.py (linear re-analysis); outputs: results/kf_only_ordering.csv, results/kf_only_ordering.json, results/kf_only_severity.csv, results/kf_only_ordering.txt, results/tcga_clinical_severity_v44.csv.</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Arial" w:hAnsi="Arial"/>
                <w:b/>
                <w:sz w:val="18"/>
              </w:rPr>
              <w:t>Stratum</w:t>
            </w:r>
          </w:p>
        </w:tc>
        <w:tc>
          <w:tcPr>
            <w:tcW w:type="dxa" w:w="1568"/>
          </w:tcPr>
          <w:p>
            <w:r>
              <w:rPr>
                <w:rFonts w:ascii="Arial" w:hAnsi="Arial"/>
                <w:b/>
                <w:sz w:val="18"/>
              </w:rPr>
              <w:t>Ordering by mean ω</w:t>
            </w:r>
          </w:p>
        </w:tc>
        <w:tc>
          <w:tcPr>
            <w:tcW w:type="dxa" w:w="1568"/>
          </w:tcPr>
          <w:p>
            <w:r>
              <w:rPr>
                <w:rFonts w:ascii="Arial" w:hAnsi="Arial"/>
                <w:b/>
                <w:sz w:val="18"/>
              </w:rPr>
              <w:t>Mean ω per group</w:t>
            </w:r>
          </w:p>
        </w:tc>
        <w:tc>
          <w:tcPr>
            <w:tcW w:type="dxa" w:w="1568"/>
          </w:tcPr>
          <w:p>
            <w:r>
              <w:rPr>
                <w:rFonts w:ascii="Arial" w:hAnsi="Arial"/>
                <w:b/>
                <w:sz w:val="18"/>
              </w:rPr>
              <w:t>ω omnibus P</w:t>
            </w:r>
          </w:p>
        </w:tc>
        <w:tc>
          <w:tcPr>
            <w:tcW w:type="dxa" w:w="1568"/>
          </w:tcPr>
          <w:p>
            <w:r>
              <w:rPr>
                <w:rFonts w:ascii="Arial" w:hAnsi="Arial"/>
                <w:b/>
                <w:sz w:val="18"/>
              </w:rPr>
              <w:t>k_f P</w:t>
            </w:r>
          </w:p>
        </w:tc>
        <w:tc>
          <w:tcPr>
            <w:tcW w:type="dxa" w:w="1568"/>
          </w:tcPr>
          <w:p>
            <w:r>
              <w:rPr>
                <w:rFonts w:ascii="Arial" w:hAnsi="Arial"/>
                <w:b/>
                <w:sz w:val="18"/>
              </w:rPr>
              <w:t>k_n P</w:t>
            </w:r>
          </w:p>
        </w:tc>
      </w:tr>
      <w:tr>
        <w:tc>
          <w:tcPr>
            <w:tcW w:type="dxa" w:w="1568"/>
          </w:tcPr>
          <w:p>
            <w:r>
              <w:rPr>
                <w:rFonts w:ascii="Arial" w:hAnsi="Arial"/>
                <w:sz w:val="18"/>
              </w:rPr>
              <w:t>LIHC Edmondson grade</w:t>
            </w:r>
          </w:p>
        </w:tc>
        <w:tc>
          <w:tcPr>
            <w:tcW w:type="dxa" w:w="1568"/>
          </w:tcPr>
          <w:p>
            <w:r>
              <w:rPr>
                <w:rFonts w:ascii="Arial" w:hAnsi="Arial"/>
                <w:sz w:val="18"/>
              </w:rPr>
              <w:t>G1 &gt; G2 ≈ G3 &gt; G4</w:t>
            </w:r>
          </w:p>
        </w:tc>
        <w:tc>
          <w:tcPr>
            <w:tcW w:type="dxa" w:w="1568"/>
          </w:tcPr>
          <w:p>
            <w:r>
              <w:rPr>
                <w:rFonts w:ascii="Arial" w:hAnsi="Arial"/>
                <w:sz w:val="18"/>
              </w:rPr>
              <w:t>78.2 / 76.8 / 77.9 / 72.6</w:t>
            </w:r>
          </w:p>
        </w:tc>
        <w:tc>
          <w:tcPr>
            <w:tcW w:type="dxa" w:w="1568"/>
          </w:tcPr>
          <w:p>
            <w:r>
              <w:rPr>
                <w:rFonts w:ascii="Arial" w:hAnsi="Arial"/>
                <w:sz w:val="18"/>
              </w:rPr>
              <w:t>JT ≈ 0</w:t>
            </w:r>
          </w:p>
        </w:tc>
        <w:tc>
          <w:tcPr>
            <w:tcW w:type="dxa" w:w="1568"/>
          </w:tcPr>
          <w:p>
            <w:r>
              <w:rPr>
                <w:rFonts w:ascii="Arial" w:hAnsi="Arial"/>
                <w:sz w:val="18"/>
              </w:rPr>
              <w:t>JT 6.9 × 10⁻¹⁵</w:t>
            </w:r>
          </w:p>
        </w:tc>
        <w:tc>
          <w:tcPr>
            <w:tcW w:type="dxa" w:w="1568"/>
          </w:tcPr>
          <w:p>
            <w:r>
              <w:rPr>
                <w:rFonts w:ascii="Arial" w:hAnsi="Arial"/>
                <w:sz w:val="18"/>
              </w:rPr>
              <w:t>JT ≈ 0</w:t>
            </w:r>
          </w:p>
        </w:tc>
      </w:tr>
      <w:tr>
        <w:tc>
          <w:tcPr>
            <w:tcW w:type="dxa" w:w="1568"/>
          </w:tcPr>
          <w:p>
            <w:r>
              <w:rPr>
                <w:rFonts w:ascii="Arial" w:hAnsi="Arial"/>
                <w:sz w:val="18"/>
              </w:rPr>
              <w:t>BRCA PAM50</w:t>
            </w:r>
          </w:p>
        </w:tc>
        <w:tc>
          <w:tcPr>
            <w:tcW w:type="dxa" w:w="1568"/>
          </w:tcPr>
          <w:p>
            <w:r>
              <w:rPr>
                <w:rFonts w:ascii="Arial" w:hAnsi="Arial"/>
                <w:sz w:val="18"/>
              </w:rPr>
              <w:t>LumA &gt; LumB &gt; HER2 &gt; Basal &gt; Normal</w:t>
            </w:r>
          </w:p>
        </w:tc>
        <w:tc>
          <w:tcPr>
            <w:tcW w:type="dxa" w:w="1568"/>
          </w:tcPr>
          <w:p>
            <w:r>
              <w:rPr>
                <w:rFonts w:ascii="Arial" w:hAnsi="Arial"/>
                <w:sz w:val="18"/>
              </w:rPr>
              <w:t>142.0 / 136.5 / 121.8 / 116.7 / 101.9</w:t>
            </w:r>
          </w:p>
        </w:tc>
        <w:tc>
          <w:tcPr>
            <w:tcW w:type="dxa" w:w="1568"/>
          </w:tcPr>
          <w:p>
            <w:r>
              <w:rPr>
                <w:rFonts w:ascii="Arial" w:hAnsi="Arial"/>
                <w:sz w:val="18"/>
              </w:rPr>
              <w:t>KW 7.0 × 10⁻⁷</w:t>
            </w:r>
          </w:p>
        </w:tc>
        <w:tc>
          <w:tcPr>
            <w:tcW w:type="dxa" w:w="1568"/>
          </w:tcPr>
          <w:p>
            <w:r>
              <w:rPr>
                <w:rFonts w:ascii="Arial" w:hAnsi="Arial"/>
                <w:sz w:val="18"/>
              </w:rPr>
              <w:t>KW 8.3 × 10⁻¹²</w:t>
            </w:r>
          </w:p>
        </w:tc>
        <w:tc>
          <w:tcPr>
            <w:tcW w:type="dxa" w:w="1568"/>
          </w:tcPr>
          <w:p>
            <w:r>
              <w:rPr>
                <w:rFonts w:ascii="Arial" w:hAnsi="Arial"/>
                <w:sz w:val="18"/>
              </w:rPr>
              <w:t>KW 3.6 × 10⁻¹⁰</w:t>
            </w:r>
          </w:p>
        </w:tc>
      </w:tr>
      <w:tr>
        <w:tc>
          <w:tcPr>
            <w:tcW w:type="dxa" w:w="1568"/>
          </w:tcPr>
          <w:p>
            <w:r>
              <w:rPr>
                <w:rFonts w:ascii="Arial" w:hAnsi="Arial"/>
                <w:sz w:val="18"/>
              </w:rPr>
              <w:t>LUAD mutation</w:t>
            </w:r>
          </w:p>
        </w:tc>
        <w:tc>
          <w:tcPr>
            <w:tcW w:type="dxa" w:w="1568"/>
          </w:tcPr>
          <w:p>
            <w:r>
              <w:rPr>
                <w:rFonts w:ascii="Arial" w:hAnsi="Arial"/>
                <w:sz w:val="18"/>
              </w:rPr>
              <w:t>KRAS &gt; EGFR &gt; wild-type</w:t>
            </w:r>
          </w:p>
        </w:tc>
        <w:tc>
          <w:tcPr>
            <w:tcW w:type="dxa" w:w="1568"/>
          </w:tcPr>
          <w:p>
            <w:r>
              <w:rPr>
                <w:rFonts w:ascii="Arial" w:hAnsi="Arial"/>
                <w:sz w:val="18"/>
              </w:rPr>
              <w:t>136.9 / 122.2 / 115.4</w:t>
            </w:r>
          </w:p>
        </w:tc>
        <w:tc>
          <w:tcPr>
            <w:tcW w:type="dxa" w:w="1568"/>
          </w:tcPr>
          <w:p>
            <w:r>
              <w:rPr>
                <w:rFonts w:ascii="Arial" w:hAnsi="Arial"/>
                <w:sz w:val="18"/>
              </w:rPr>
              <w:t>KW 7.8 × 10⁻⁷</w:t>
            </w:r>
          </w:p>
        </w:tc>
        <w:tc>
          <w:tcPr>
            <w:tcW w:type="dxa" w:w="1568"/>
          </w:tcPr>
          <w:p>
            <w:r>
              <w:rPr>
                <w:rFonts w:ascii="Arial" w:hAnsi="Arial"/>
                <w:sz w:val="18"/>
              </w:rPr>
              <w:t>KW 0.015</w:t>
            </w:r>
          </w:p>
        </w:tc>
        <w:tc>
          <w:tcPr>
            <w:tcW w:type="dxa" w:w="1568"/>
          </w:tcPr>
          <w:p>
            <w:r>
              <w:rPr>
                <w:rFonts w:ascii="Arial" w:hAnsi="Arial"/>
                <w:sz w:val="18"/>
              </w:rPr>
              <w:t>KW 3.4 × 10⁻⁴</w:t>
            </w:r>
          </w:p>
        </w:tc>
      </w:tr>
    </w:tbl>
    <w:p>
      <w:r>
        <w:rPr>
          <w:rFonts w:ascii="Arial" w:hAnsi="Arial"/>
          <w:b w:val="0"/>
          <w:color w:val="000000"/>
          <w:sz w:val="22"/>
        </w:rPr>
        <w:t>Table (Supplementary Note 9). TCGA clinical-severity gradients under the linear-normalization re-analysis (kn_floor = 0; per-tumor mean of intratumoral TT pairs). JT = Jonckheere-Terpstra trend test; KW = Kruskal-Wallis. All P-values are nominal (no multiplicity correction); every gradient is denominator-dominated, as shown by the parallel k_n trends.</w:t>
      </w:r>
    </w:p>
    <w:p>
      <w:pPr>
        <w:pStyle w:val="Heading2"/>
      </w:pPr>
      <w:r>
        <w:t>Supplementary Note 10: Brain Class-Size Confounding Controls and min-cells Threshold Sensitivity</w:t>
      </w:r>
    </w:p>
    <w:p>
      <w:r>
        <w:rPr>
          <w:rFonts w:ascii="Arial" w:hAnsi="Arial"/>
          <w:b w:val="0"/>
          <w:color w:val="000000"/>
          <w:sz w:val="22"/>
        </w:rPr>
        <w:t>Purpose. Three post-hoc controls quantify how class size and the 20-nucleus minimum affect the brain landscape (script notebooks/86_brain_downsample_threshold_v44.py; report results/brain_downsample_threshold_v44_report.md; seed 42). Pipeline validation: at the reference threshold (min 20 nuclei) the rerun reproduces the authoritative observed pairs exactly (31,764 pairs; class ω means within 4.1 × 10⁻¹⁵; grand mean 38.545; 39 Strong candidates).</w:t>
      </w:r>
    </w:p>
    <w:p>
      <w:r>
        <w:rPr>
          <w:rFonts w:ascii="Arial" w:hAnsi="Arial"/>
          <w:b w:val="0"/>
          <w:color w:val="000000"/>
          <w:sz w:val="22"/>
        </w:rPr>
        <w:t>Confound correlations (class level, 10 classes). k_n correlates significantly with class size — Spearman ρ = −0.648 (P = 0.043), Pearson r = −0.850 (P = 0.0018) against log10(nuclei per class); smaller classes have noisier HK pseudobulks and hence larger k_n. k_n shows no significant correlation with detection depth (mean detected genes or mean total counts; all P &gt; 0.22). ω itself is uncorrelated with every confound tested (all P ≥ 0.091): the sampling-noise factor is shared by k_f and k_n and cancels in the ratio.</w:t>
      </w:r>
    </w:p>
    <w:p>
      <w:r>
        <w:rPr>
          <w:rFonts w:ascii="Arial" w:hAnsi="Arial"/>
          <w:b w:val="0"/>
          <w:color w:val="000000"/>
          <w:sz w:val="22"/>
        </w:rPr>
        <w:t>Equal-n downsampling. Downsampling every class to 4,118 nuclei (the smallest class; 20 replicates, proportional across regions, without replacement) abolishes the class-level k_n ordering (full versus equal-n Spearman ρ = −0.055, P = 0.88), confirming that the k_n ordering is essentially fully explained by class size, and attenuates the ω ordering (ρ = 0.370, P = 0.29). The astrocyte-to-Bergmann-glia gradient survives in direction: 6.10 (full data) → 1.74 ± 0.07 (mean ± SD over 20 replicates; 95% percentile interval [1.64, 1.84], which excludes 1.0). Roughly 70% of the full-data 6.10-fold magnitude therefore reflects class-size imbalance and is disclosed as such in the main text; the direction of the gradient is robust.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Arial" w:hAnsi="Arial"/>
                <w:b/>
                <w:sz w:val="18"/>
              </w:rPr>
              <w:t>min cells</w:t>
            </w:r>
          </w:p>
        </w:tc>
        <w:tc>
          <w:tcPr>
            <w:tcW w:type="dxa" w:w="1568"/>
          </w:tcPr>
          <w:p>
            <w:r>
              <w:rPr>
                <w:rFonts w:ascii="Arial" w:hAnsi="Arial"/>
                <w:b/>
                <w:sz w:val="18"/>
              </w:rPr>
              <w:t>classes</w:t>
            </w:r>
          </w:p>
        </w:tc>
        <w:tc>
          <w:tcPr>
            <w:tcW w:type="dxa" w:w="1568"/>
          </w:tcPr>
          <w:p>
            <w:r>
              <w:rPr>
                <w:rFonts w:ascii="Arial" w:hAnsi="Arial"/>
                <w:b/>
                <w:sz w:val="18"/>
              </w:rPr>
              <w:t>pairs</w:t>
            </w:r>
          </w:p>
        </w:tc>
        <w:tc>
          <w:tcPr>
            <w:tcW w:type="dxa" w:w="1568"/>
          </w:tcPr>
          <w:p>
            <w:r>
              <w:rPr>
                <w:rFonts w:ascii="Arial" w:hAnsi="Arial"/>
                <w:b/>
                <w:sz w:val="18"/>
              </w:rPr>
              <w:t>Strong</w:t>
            </w:r>
          </w:p>
        </w:tc>
        <w:tc>
          <w:tcPr>
            <w:tcW w:type="dxa" w:w="1568"/>
          </w:tcPr>
          <w:p>
            <w:r>
              <w:rPr>
                <w:rFonts w:ascii="Arial" w:hAnsi="Arial"/>
                <w:b/>
                <w:sz w:val="18"/>
              </w:rPr>
              <w:t>lowest-ω class</w:t>
            </w:r>
          </w:p>
        </w:tc>
        <w:tc>
          <w:tcPr>
            <w:tcW w:type="dxa" w:w="1568"/>
          </w:tcPr>
          <w:p>
            <w:r>
              <w:rPr>
                <w:rFonts w:ascii="Arial" w:hAnsi="Arial"/>
                <w:b/>
                <w:sz w:val="18"/>
              </w:rPr>
              <w:t>Astrocyte/Bergmann gradient</w:t>
            </w:r>
          </w:p>
        </w:tc>
      </w:tr>
      <w:tr>
        <w:tc>
          <w:tcPr>
            <w:tcW w:type="dxa" w:w="1568"/>
          </w:tcPr>
          <w:p>
            <w:r>
              <w:rPr>
                <w:rFonts w:ascii="Arial" w:hAnsi="Arial"/>
                <w:sz w:val="18"/>
              </w:rPr>
              <w:t>10</w:t>
            </w:r>
          </w:p>
        </w:tc>
        <w:tc>
          <w:tcPr>
            <w:tcW w:type="dxa" w:w="1568"/>
          </w:tcPr>
          <w:p>
            <w:r>
              <w:rPr>
                <w:rFonts w:ascii="Arial" w:hAnsi="Arial"/>
                <w:sz w:val="18"/>
              </w:rPr>
              <w:t>10</w:t>
            </w:r>
          </w:p>
        </w:tc>
        <w:tc>
          <w:tcPr>
            <w:tcW w:type="dxa" w:w="1568"/>
          </w:tcPr>
          <w:p>
            <w:r>
              <w:rPr>
                <w:rFonts w:ascii="Arial" w:hAnsi="Arial"/>
                <w:sz w:val="18"/>
              </w:rPr>
              <w:t>37,361</w:t>
            </w:r>
          </w:p>
        </w:tc>
        <w:tc>
          <w:tcPr>
            <w:tcW w:type="dxa" w:w="1568"/>
          </w:tcPr>
          <w:p>
            <w:r>
              <w:rPr>
                <w:rFonts w:ascii="Arial" w:hAnsi="Arial"/>
                <w:sz w:val="18"/>
              </w:rPr>
              <w:t>29</w:t>
            </w:r>
          </w:p>
        </w:tc>
        <w:tc>
          <w:tcPr>
            <w:tcW w:type="dxa" w:w="1568"/>
          </w:tcPr>
          <w:p>
            <w:r>
              <w:rPr>
                <w:rFonts w:ascii="Arial" w:hAnsi="Arial"/>
                <w:sz w:val="18"/>
              </w:rPr>
              <w:t>Vascular</w:t>
            </w:r>
          </w:p>
        </w:tc>
        <w:tc>
          <w:tcPr>
            <w:tcW w:type="dxa" w:w="1568"/>
          </w:tcPr>
          <w:p>
            <w:r>
              <w:rPr>
                <w:rFonts w:ascii="Arial" w:hAnsi="Arial"/>
                <w:sz w:val="18"/>
              </w:rPr>
              <w:t>6.60</w:t>
            </w:r>
          </w:p>
        </w:tc>
      </w:tr>
      <w:tr>
        <w:tc>
          <w:tcPr>
            <w:tcW w:type="dxa" w:w="1568"/>
          </w:tcPr>
          <w:p>
            <w:r>
              <w:rPr>
                <w:rFonts w:ascii="Arial" w:hAnsi="Arial"/>
                <w:sz w:val="18"/>
              </w:rPr>
              <w:t>20 (reference)</w:t>
            </w:r>
          </w:p>
        </w:tc>
        <w:tc>
          <w:tcPr>
            <w:tcW w:type="dxa" w:w="1568"/>
          </w:tcPr>
          <w:p>
            <w:r>
              <w:rPr>
                <w:rFonts w:ascii="Arial" w:hAnsi="Arial"/>
                <w:sz w:val="18"/>
              </w:rPr>
              <w:t>10</w:t>
            </w:r>
          </w:p>
        </w:tc>
        <w:tc>
          <w:tcPr>
            <w:tcW w:type="dxa" w:w="1568"/>
          </w:tcPr>
          <w:p>
            <w:r>
              <w:rPr>
                <w:rFonts w:ascii="Arial" w:hAnsi="Arial"/>
                <w:sz w:val="18"/>
              </w:rPr>
              <w:t>31,764</w:t>
            </w:r>
          </w:p>
        </w:tc>
        <w:tc>
          <w:tcPr>
            <w:tcW w:type="dxa" w:w="1568"/>
          </w:tcPr>
          <w:p>
            <w:r>
              <w:rPr>
                <w:rFonts w:ascii="Arial" w:hAnsi="Arial"/>
                <w:sz w:val="18"/>
              </w:rPr>
              <w:t>39</w:t>
            </w:r>
          </w:p>
        </w:tc>
        <w:tc>
          <w:tcPr>
            <w:tcW w:type="dxa" w:w="1568"/>
          </w:tcPr>
          <w:p>
            <w:r>
              <w:rPr>
                <w:rFonts w:ascii="Arial" w:hAnsi="Arial"/>
                <w:sz w:val="18"/>
              </w:rPr>
              <w:t>Bergmann glia</w:t>
            </w:r>
          </w:p>
        </w:tc>
        <w:tc>
          <w:tcPr>
            <w:tcW w:type="dxa" w:w="1568"/>
          </w:tcPr>
          <w:p>
            <w:r>
              <w:rPr>
                <w:rFonts w:ascii="Arial" w:hAnsi="Arial"/>
                <w:sz w:val="18"/>
              </w:rPr>
              <w:t>6.10</w:t>
            </w:r>
          </w:p>
        </w:tc>
      </w:tr>
      <w:tr>
        <w:tc>
          <w:tcPr>
            <w:tcW w:type="dxa" w:w="1568"/>
          </w:tcPr>
          <w:p>
            <w:r>
              <w:rPr>
                <w:rFonts w:ascii="Arial" w:hAnsi="Arial"/>
                <w:sz w:val="18"/>
              </w:rPr>
              <w:t>50</w:t>
            </w:r>
          </w:p>
        </w:tc>
        <w:tc>
          <w:tcPr>
            <w:tcW w:type="dxa" w:w="1568"/>
          </w:tcPr>
          <w:p>
            <w:r>
              <w:rPr>
                <w:rFonts w:ascii="Arial" w:hAnsi="Arial"/>
                <w:sz w:val="18"/>
              </w:rPr>
              <w:t>10</w:t>
            </w:r>
          </w:p>
        </w:tc>
        <w:tc>
          <w:tcPr>
            <w:tcW w:type="dxa" w:w="1568"/>
          </w:tcPr>
          <w:p>
            <w:r>
              <w:rPr>
                <w:rFonts w:ascii="Arial" w:hAnsi="Arial"/>
                <w:sz w:val="18"/>
              </w:rPr>
              <w:t>25,876</w:t>
            </w:r>
          </w:p>
        </w:tc>
        <w:tc>
          <w:tcPr>
            <w:tcW w:type="dxa" w:w="1568"/>
          </w:tcPr>
          <w:p>
            <w:r>
              <w:rPr>
                <w:rFonts w:ascii="Arial" w:hAnsi="Arial"/>
                <w:sz w:val="18"/>
              </w:rPr>
              <w:t>31</w:t>
            </w:r>
          </w:p>
        </w:tc>
        <w:tc>
          <w:tcPr>
            <w:tcW w:type="dxa" w:w="1568"/>
          </w:tcPr>
          <w:p>
            <w:r>
              <w:rPr>
                <w:rFonts w:ascii="Arial" w:hAnsi="Arial"/>
                <w:sz w:val="18"/>
              </w:rPr>
              <w:t>Vascular</w:t>
            </w:r>
          </w:p>
        </w:tc>
        <w:tc>
          <w:tcPr>
            <w:tcW w:type="dxa" w:w="1568"/>
          </w:tcPr>
          <w:p>
            <w:r>
              <w:rPr>
                <w:rFonts w:ascii="Arial" w:hAnsi="Arial"/>
                <w:sz w:val="18"/>
              </w:rPr>
              <w:t>4.12</w:t>
            </w:r>
          </w:p>
        </w:tc>
      </w:tr>
      <w:tr>
        <w:tc>
          <w:tcPr>
            <w:tcW w:type="dxa" w:w="1568"/>
          </w:tcPr>
          <w:p>
            <w:r>
              <w:rPr>
                <w:rFonts w:ascii="Arial" w:hAnsi="Arial"/>
                <w:sz w:val="18"/>
              </w:rPr>
              <w:t>100</w:t>
            </w:r>
          </w:p>
        </w:tc>
        <w:tc>
          <w:tcPr>
            <w:tcW w:type="dxa" w:w="1568"/>
          </w:tcPr>
          <w:p>
            <w:r>
              <w:rPr>
                <w:rFonts w:ascii="Arial" w:hAnsi="Arial"/>
                <w:sz w:val="18"/>
              </w:rPr>
              <w:t>8</w:t>
            </w:r>
          </w:p>
        </w:tc>
        <w:tc>
          <w:tcPr>
            <w:tcW w:type="dxa" w:w="1568"/>
          </w:tcPr>
          <w:p>
            <w:r>
              <w:rPr>
                <w:rFonts w:ascii="Arial" w:hAnsi="Arial"/>
                <w:sz w:val="18"/>
              </w:rPr>
              <w:t>22,968</w:t>
            </w:r>
          </w:p>
        </w:tc>
        <w:tc>
          <w:tcPr>
            <w:tcW w:type="dxa" w:w="1568"/>
          </w:tcPr>
          <w:p>
            <w:r>
              <w:rPr>
                <w:rFonts w:ascii="Arial" w:hAnsi="Arial"/>
                <w:sz w:val="18"/>
              </w:rPr>
              <w:t>22</w:t>
            </w:r>
          </w:p>
        </w:tc>
        <w:tc>
          <w:tcPr>
            <w:tcW w:type="dxa" w:w="1568"/>
          </w:tcPr>
          <w:p>
            <w:r>
              <w:rPr>
                <w:rFonts w:ascii="Arial" w:hAnsi="Arial"/>
                <w:sz w:val="18"/>
              </w:rPr>
              <w:t>Vascular</w:t>
            </w:r>
          </w:p>
        </w:tc>
        <w:tc>
          <w:tcPr>
            <w:tcW w:type="dxa" w:w="1568"/>
          </w:tcPr>
          <w:p>
            <w:r>
              <w:rPr>
                <w:rFonts w:ascii="Arial" w:hAnsi="Arial"/>
                <w:sz w:val="18"/>
              </w:rPr>
              <w:t>n/a (Bergmann glia, choroid plexus dropped)</w:t>
            </w:r>
          </w:p>
        </w:tc>
      </w:tr>
    </w:tbl>
    <w:p>
      <w:r>
        <w:rPr>
          <w:rFonts w:ascii="Arial" w:hAnsi="Arial"/>
          <w:b w:val="0"/>
          <w:color w:val="000000"/>
          <w:sz w:val="22"/>
        </w:rPr>
        <w:t>Table (Supplementary Note 10). Threshold sensitivity of the brain landscape. The 20-nucleus threshold is not arbitrary-sensitive: the high-ω classes (astrocytes, oligodendrocytes, OPCs, microglia) change by ≤ 1% across thresholds, and Strong-tier counts vary modestly (22–39). Two caveats: (i) the lowest-ω position is a near-tie at t = 20 (Bergmann glia 13.555 versus vascular 13.559) and flips with threshold choice; (ii) t = 100 drops the two smallest classes (Bergmann glia, choroid plexus), so the threshold must stay ≤ 50 to retain all ten classes; t = 20 maximizes pair coverage while keeping per-group pseudobulk noise acceptable.</w:t>
      </w:r>
    </w:p>
    <w:p>
      <w:pPr>
        <w:pStyle w:val="Heading2"/>
      </w:pPr>
      <w:r>
        <w:t>Supplementary Note 11: Region Glossary (Siletti et al. Dissection Nomenclature)</w:t>
      </w:r>
    </w:p>
    <w:p>
      <w:r>
        <w:rPr>
          <w:rFonts w:ascii="Arial" w:hAnsi="Arial"/>
          <w:b w:val="0"/>
          <w:color w:val="000000"/>
          <w:sz w:val="22"/>
        </w:rPr>
        <w:t>All brain-region abbreviations used in the manuscript follow the dissection nomenclature of the Siletti et al. atlas [12], which is derived from the adult human brain structural ontology of Ding et al. We extract the ROI-to-dissection mapping verbatim from the dataset metadata (data/brain/Nonneurons.h5ad, obs roi and dissection fields; script notebooks/_v38_region_glossary.py, output results/v38_region_glossary.csv). Candidate-screen endpoints discussed in the text: A13, caudal intermediate orbital gyrus (orbitofrontal cortex); A14, gyrus rectus (medial orbitofrontal cortex); A38, temporopolar area; A40, supramarginal gyrus; A43, parietal operculum (gustatory cortex); A46, middle frontal gyrus; A5-A7, posterosuperior parietal cortex; AON, anterior olfactory nucleus; TF, temporal area TF of the occipitotemporal (fusiform) gyrus; Pro, area prostriata; Cla, claustrum; LG, lateral geniculate nucleus; MG, medial geniculate nuclei; LP, lateral posterior nucleus; Pul, pulvinar; VA, ventral anterior nucleus; MD, mediodorsal nucleus; MD-Re, mediodorsal plus reuniens nuclei; CM-Pf, centromedian and parafascicular nuclei; VPL, ventral posterolateral nucleus (all thalamic except where noted); STH, subthalamic nucleus (grouped under thalamus in the dissection ontology but not a thalamic relay nucleus); GPe, external segment of the globus pallidus; NAC, nucleus accumbens; SI, substantia innominata; BL, basolateral amygdaloid nucleus; BM, basomedial amygdaloid nucleus; CMN, corticomedial amygdaloid nuclear group; CA1C-CA3C, caudal hippocampus (cornu ammonis fields CA1-CA3); CBL, lateral hemisphere of the cerebellum; CBV, cerebellar vermis; IC, inferior colliculus; DTg, dorsal tegmental nucleus; PAG-DR, periaqueductal gray and dorsal raphe nucleus; PN, pontine nucleus; PnAN, afferent nuclei of cranial nerves in pons; PnRF, pontine reticular formation; MoRF-MoEN, medullary reticular formation and efferent nuclei of cranial nerves in the medulla oblongata; HTHso-HTHtub, supraoptic and tuberal hypothalamus. A13 and A14 are cortical (Brodmann-designated orbitofrontal) areas, not thalamic nuclei; the numbered A-series labels in the 108-region set are cortical areas, whereas thalamic nuclei carry their conventional abbreviations (LG, MG, Pul, LP, VPL, VA, MD, CM-Pf, and related labels). The full 108-region glossary (abbreviation to full dissection path) ships as results/v38_region_glossary.csv in the reproducibility package.</w:t>
      </w:r>
    </w:p>
    <w:p>
      <w:pPr>
        <w:pStyle w:val="Heading2"/>
      </w:pPr>
      <w:r>
        <w:t>Supplementary Note 12: Pseudo-Region Negative Control (Block-Shuffle Null Calibration)</w:t>
      </w:r>
    </w:p>
    <w:p>
      <w:r>
        <w:rPr>
          <w:rFonts w:ascii="Arial" w:hAnsi="Arial"/>
          <w:b w:val="0"/>
          <w:color w:val="000000"/>
          <w:sz w:val="22"/>
        </w:rPr>
        <w:t>Purpose. To isolate the calibration of the brain block-shuffle null from the regional structure it is designed to test, every region’s libraries were split uniformly at random into two halves (seed = 20260903), producing two "pseudo-regions" per region per cell type; the identical block-shuffle test (same gene model of HRT Atlas HK genes + top-5000 non-HK HVG; same filters: minimum 20 nuclei per (region, cell type), minimum 50 nuclei per region, and at least two libraries in the group; B = 1,000 permutations; identical one-sided (B+1) P-value formulae) was re-run on the 127,756 pseudo-pairs across the ten non-neuronal cell types. Pairs formed between the two halves of the same real region are "same-origin" (n = 700); all others are "cross-origin" (n = 127,056), the direct analogue of the real cross-region pairs.</w:t>
      </w:r>
    </w:p>
    <w:p>
      <w:r>
        <w:rPr>
          <w:rFonts w:ascii="Arial" w:hAnsi="Arial"/>
          <w:b w:val="0"/>
          <w:color w:val="000000"/>
          <w:sz w:val="22"/>
        </w:rPr>
        <w:t>Results. Cross-origin pseudo-pairs gave near-nominal marginal tail rates (5.79% lower tail and 6.87% upper tail at P &lt; 0.05, versus the 5% nominal level), closely matching the real analysis (6.17% lower, 7.90% upper). Same-origin pairs showed a 37.6% lower-tail rate (263/700), demonstrating within-region library similarity, and a suppressed upper-tail rate (2.0%). Kolmogorov-Smirnov tests against U(0,1) reject exact uniformity (cross-origin D = 0.065/0.064 for the lower/upper tail; P approximately 0 at n = 127,056, which detects minute deviations), and binomial tail tests quantify the practical magnitude: an excess of ~0.8-1.9 percentage points over nominal (binom P = 9.2e-37 and 6.8e-185). The QQ plots are shown in Supplementary Fig. 10.</w:t>
      </w:r>
    </w:p>
    <w:p>
      <w:r>
        <w:rPr>
          <w:rFonts w:ascii="Arial" w:hAnsi="Arial"/>
          <w:b w:val="0"/>
          <w:color w:val="000000"/>
          <w:sz w:val="22"/>
        </w:rPr>
        <w:t>Interpretation. Because the random split destroys regional structure but preserves within-region library grouping (donor, dissection, and batch effects tied to each region), the closeness of the pseudo-pair and real-pair marginal rates demonstrates that the mild over-dispersion of the per-pair P-values arises from library-level grouping shared by both designs, not from a null-width mismatch driven by real regional structure. The 37.6% same-origin rate confirms that the test retains full power where within-region similarity exists. The small excess of the real over the pseudo marginal rates (0.4 and 1.0 percentage points in the lower and upper tails) is the marginal signature of the true regional biology. Script: notebooks/77_pseudoregion_control.py; outputs: results/pseudoregion_control_summary.json, results/pseudoregion_control_pairs.csv.</w:t>
      </w:r>
    </w:p>
    <w:p>
      <w:pPr>
        <w:pStyle w:val="Heading2"/>
      </w:pPr>
      <w:r>
        <w:t>Supplementary Note 13: Brain set-level enrichment of the block-shuffle signal (post-hoc)</w:t>
      </w:r>
    </w:p>
    <w:p>
      <w:r>
        <w:rPr>
          <w:rFonts w:ascii="Arial" w:hAnsi="Arial"/>
          <w:b w:val="0"/>
          <w:color w:val="000000"/>
          <w:sz w:val="22"/>
        </w:rPr>
        <w:t>Under the block-shuffle null (B = 1,000; m = 31,764 region pairs) no individual candidate survives Benjamini-Hochberg correction (minimum q = 0.520), and the manuscript accordingly presents the 39 Strong candidates as hypothesis-generating. A structural caveat applies to everything below: the tier variable (residual &lt; 0.3, ω &lt; 15, lowest-in-pair) and the per-pair permutation P-values are both monotone functions of the same observed and null ω values, so the tier-graded raw-P enrichment is partly guaranteed by construction; the set-level statistics below quantify the pattern rather than provide independent evidence for it. Two post-hoc set-level checks ask whether the raw-P signal is nonetheless structured rather than diffuse. First, raw-P enrichment is strongly tier-dependent: raw P &lt; 0.05 occurs in 31 of 39 Strong-tier pairs (79.5%), 417 of 1,171 Moderate (35.6%), 909 of 5,381 Weak (16.9%), and 603 of 25,173 unclassified pairs (2.4%), versus 6.2% overall; the Strong-tier excess is significant under a hypergeometric test (P = 9.6 x 10^-31), the dose-response across tiers is monotone (Cochran-Armitage trend z = 61.0), and the Strong-tier raw P-values are stochastically smaller than all other pairs (Mann-Whitney P = 5.3 x 10^-24; Kolmogorov-Smirnov D = 0.846, P = 4.9 x 10^-32). Second, the 10 mature-oligodendrocyte Strong candidates concentrate on a thalamo-temporal axis: a thalamic-relay endpoint (conservative set: MG, LG, LP, LP-VPL, Pul, VPL, VA, MD, MD-Re, CM-Pf, CM) occurs in 6 of 10 candidates versus a 19.4% base rate among all 5,778 mature-oligodendrocyte pairs, a temporal-fusiform (TF) endpoint in 4 of 10 versus 1.9%, and the combined axis (thalamic relay, subthalamic nucleus, or TF endpoint) in 9 of 10 versus 22.7%. Because the candidates share endpoints (MG appears in three pairs, TF in four), the hypergeometric tests (P = 0.005, 2.1 x 10^-5, and 1.3 x 10^-5 respectively) assume independent draws and are reported for reference only; a permutation test that instead resamples candidate sets of size 10 from the same 5,778-pair pool, thereby preserving the pool’s endpoint co-occurrence structure, gives P = 1.005 x 10^-5 for the thalamic-relay endpoint and P ≤ 1 x 10^-5 for the TF and combined-axis endpoints (B = 100,000; null mean hit counts 1.95, 0.19, and 2.27 respectively; the observed 4 and 9 hits equal or exceed the null maximum). A selection-rule-matched null, at the same specification as the microglia composition check (the Strong rule re-evaluated on each block-shuffle permutation, B = 1,000; notebooks/82_axis_rule_matched_null.py), qualifies these values: the rule-matched null generates more survivors than observed (mean 43.7 per permutation, 95% [20, 79], versus 10 observed; this expectation applies to the mature-oligodendrocyte pool of 5,778 pairs, whereas the 148.3 figure quoted above refers to the full 31,764-pair screen—the two survivor expectations are computed on different pools and are not directly comparable), so absolute hit counts are not extreme (thalamic-relay 6 versus a null mean of 6.58, P = 0.48; TF 4 versus 1.51, P = 0.13; combined axis 9 versus 8.49, P = 0.38); the concentration is significant at the level of the per-candidate hit rate (observed 0.60/0.40/0.90 versus null mean rates 0.149/0.034/0.193; P = 0.005, 0.002, and 0.001; these per-candidate hit-rate P values are conditional on the selected survivor set and are not valid post-selection P values). The uniform-draw permutation treats the candidates as a size-10 uniform subset of the pool and does not model the selection rule; the rule-matched rate test is the design-matched comparison, and the claim it supports is axis concentration of the surviving candidates, not an axis excess of candidates. These are post-hoc checks in a single dataset, with the tier variable and the axis definition chosen after inspecting the data, and all P-values are nominal with no multiplicity adjustment; they support the interpretation that the signal is not random noise, but they do not substitute for pair-level FDR control. Scripts: notebooks/72_brain_setlevel_tests.py, notebooks/78_axis_permutation_test.py, and notebooks/82_axis_rule_matched_null.py; results: results/brain_setlevel_tests.csv, results/brain_setlevel_tests.txt, results/axis_permutation_test.txt, and results/axis_rule_matched_null.txt.</w:t>
      </w:r>
    </w:p>
    <w:p>
      <w:pPr>
        <w:pStyle w:val="Heading2"/>
      </w:pPr>
      <w:r>
        <w:t>Supplementary Note 14: Comparison with Augur Cell-Type Prioritization</w:t>
      </w:r>
    </w:p>
    <w:p>
      <w:r>
        <w:rPr>
          <w:rFonts w:ascii="Arial" w:hAnsi="Arial"/>
          <w:b w:val="0"/>
          <w:color w:val="000000"/>
          <w:sz w:val="22"/>
        </w:rPr>
        <w:t>Augur (Skinnider et al., Nat. Biotechnol. 2021; main-text ref. 56) prioritizes cell types by the predictability of a condition label from single-cell expression. We asked whether its class-level prioritization of the brain atlas (condition = brain region) agrees with CKI’s regional divergence ordering. Because the reference Python port augurpy is not distributed for Python 3.13, we used pyaugur 0.1.0, a pure-Python port of R Augur v1.0.3; the port’s own validation benchmark (shipped with the pyaugur package) reports Spearman ρ = 1.0 against the R reference implementation. A stratified sample of 33,036 nuclei (≤ 50 per class × region group; groups with ≥ 20 nuclei, regions with ≥ 50 total nuclei—identical filters to the CKI pipeline) was scored per class over its eligible regions with a random forest (100 trees; CP10k + log1p input). Two variants were run: (i) multiclass macro-OvR AUC (5 subsample seeds × 3-fold stratified CV; 15 AUC estimates per class); and (ii) the primary, confound-controlled binary one-vs-rest variant—for each eligible region r, r versus the class’s other eligible regions (20 versus 20 cells, 3 repeats × 3 folds), class score = mean AUC over regions—because eligible-region counts differ by class (6–107) and multiclass AUC is not comparable across different region sets.</w:t>
      </w:r>
    </w:p>
    <w:p>
      <w:r>
        <w:rPr>
          <w:rFonts w:ascii="Arial" w:hAnsi="Arial"/>
          <w:b w:val="0"/>
          <w:color w:val="000000"/>
          <w:sz w:val="22"/>
        </w:rPr>
        <w:t>Under the primary binary OvR variant (n = 10 classes): Augur score versus class-mean ω Spearman ρ = +0.442 (P = 0.200); versus k_f ρ = +0.564 (P = 0.090); versus k_n ρ = −0.236 (P = 0.511)—moderate concordance, limited by the n = 10 power. Astrocytes, the top class by ω (82.75), rank third of ten by Augur OvR (AUC 0.703), and choroid plexus is high on both (OvR AUC 0.765, ω 37.76). The shared signal localizes to the HK-anchored numerator k_f rather than k_n, whose regional divergence is largely invisible to per-cell whole-transcriptome separability: the two methods are complementary rather than redundant. The multiclass variant is disclosed only as a sensitivity analysis because its AUC correlates with the number of eligible regions per class (ρ = −0.744, P = 0.014); it gives a weaker association (versus ω ρ = +0.127, P = 0.726). Scripts notebooks/91_augur_v45.py and notebooks/91b_augur_ovr_v45.py; report results/augur_comparison_v45_report.md.</w:t>
      </w:r>
    </w:p>
    <w:p>
      <w:pPr>
        <w:pStyle w:val="Heading2"/>
      </w:pPr>
      <w:r>
        <w:t>Supplementary Note 15: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(ω = 7.70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ω (omega_cal = ω / 7.70) absorbs this bias into the empirical baseline, and the permutation null distribution - constructed using the same gene sets as the observed data - ensures internal consistency. (Supplementary Fig. 13.)</w:t>
      </w:r>
    </w:p>
    <w:p>
      <w:r>
        <w:br w:type="page"/>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0.786). Data file: results/phase32_sweep_results.csv. Visualization: results/phase32_sweep_barplot.png.</w:t>
      </w:r>
    </w:p>
    <w:p>
      <w:r>
        <w:rPr>
          <w:rFonts w:ascii="Arial" w:hAnsi="Arial"/>
          <w:b w:val="0"/>
          <w:color w:val="000000"/>
          <w:sz w:val="22"/>
        </w:rPr>
      </w:r>
    </w:p>
    <w:p>
      <w:pPr>
        <w:pStyle w:val="Heading2"/>
      </w:pPr>
      <w:r>
        <w:t>Supplementary Table 2: Cross-Organ Conservation Data</w:t>
      </w:r>
    </w:p>
    <w:p>
      <w:r>
        <w:rPr>
          <w:rFonts w:ascii="Arial" w:hAnsi="Arial"/>
          <w:b w:val="0"/>
          <w:color w:val="000000"/>
          <w:sz w:val="22"/>
        </w:rPr>
        <w:t>Complete dataset of 59 same-cell-type cross-organ pairs in Tabula Sapiens, including ω,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Supplementary Table 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886,808 nuclei, 108 regions, 59,480 genes). Summary statistics for each cell type (ω mean, median, SD, range, k_n and k_f components) are provided in Supplementary Table 3. Raw data file: results/brain_bs_null_observed_pairs.csv (31,764 rows, block-shuffle re-analysis pipeline). Summary file: results/brain_bs_null_ct_test.csv (10-row summary). Analysis scripts: notebooks/08d_brain_blockshuffle_null.py and notebooks/08e_brain_blockshuffle_results.py. Figure generation: notebooks/_fig6_clean.py (Figure 7).</w:t>
      </w:r>
    </w:p>
    <w:p>
      <w:r>
        <w:rPr>
          <w:rFonts w:ascii="Arial" w:hAnsi="Arial"/>
          <w:b w:val="0"/>
          <w:color w:val="000000"/>
          <w:sz w:val="22"/>
        </w:rPr>
      </w:r>
    </w:p>
    <w:p>
      <w:pPr>
        <w:pStyle w:val="Heading2"/>
      </w:pPr>
      <w:r>
        <w:t>Supplementary Table 4: Inter-regional Region-Associated Candidate Data</w:t>
      </w:r>
    </w:p>
    <w:p>
      <w:r>
        <w:rPr>
          <w:rFonts w:ascii="Arial" w:hAnsi="Arial"/>
          <w:b w:val="0"/>
          <w:color w:val="000000"/>
          <w:sz w:val="22"/>
        </w:rPr>
        <w:t>Results of multiplicative model-based detection of candidate inter-regional cell region-association signals (block-shuffle re-analysis pipeline). Of the 31,764 total pairwise cross-region comparisons, 6,591 pairs (20.7%) were classified as threshold-passing candidates (residual &lt; 0.75), with full tier definitions: 39 Strong signals (residual &lt; 0.3, ω &lt; 15, and the lowest ω in the region pair; 0.12%), 1,171 Moderate signals (residual &lt; 0.5, ω &lt; 25; 3.69%), and 5,381 Weak signals (residual &lt; 0.75, ω &lt; 35; 16.94%). Under the block-shuffle permutation null (B = 1,000), 31 of the 39 Strong candidates showed raw one-sided P &lt; 0.05, but none survived Benjamini-Hochberg correction across all 31,764 pairs (minimum q = 0.520); the candidate list is therefore hypothesis-generating only. Top-5 strongest signals by cell type (ranked by residual): 1) Microglia A14 vs. Pul (ω = 7.94, residual = 0.196), 2) Microglia A14 vs. LG (ω = 7.25, residual = 0.204), 3) Microglia Cla vs. LG (ω = 5.57, residual = 0.209), 4) Oligodendrocyte LP vs. TF (ω = 11.73, residual = 0.209), 5) Oligodendrocyte STH vs. TF (ω = 11.61, residual = 0.213). Complete candidate dataset: results/brain_bs_null_observed_pairs.csv (6,591 threshold-passing rows of 31,764 total). Tables S3 and S4 share the same underlying data file (results/brain_bs_null_observed_pairs.csv): Supplementary Table 3 reports all 31,764 pairs with per-cell-type summary statistics, whereas Supplementary Table 4 retains the 6,591 threshold-passing rows with their tier, residual, and ω annotations. Analysis scripts: notebooks/08d_brain_blockshuffle_null.py and notebooks/08e_brain_blockshuffle_results.py.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region-associated candidate detection), and notebooks/30_genome_biology_figures.py with notebooks/_fig1_clean.py to _fig6_clean.py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