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Ka/Ks-inspired index for quantifying functional cell-type divergence in single-cell transcriptomics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pPr>
      <w:r>
        <w:rPr>
          <w:rFonts w:ascii="Arial" w:hAnsi="Arial"/>
          <w:b/>
          <w:color w:val="000000"/>
          <w:sz w:val="22"/>
        </w:rPr>
        <w:t xml:space="preserve">Background. </w:t>
      </w:r>
      <w:r>
        <w:rPr>
          <w:rFonts w:ascii="Arial" w:hAnsi="Arial"/>
          <w:color w:val="000000"/>
          <w:sz w:val="22"/>
        </w:rPr>
        <w:t>Standard distance metrics conflate baseline variation with functional adaptation in single-cell genomics. Inspired by the Ka/Ks ratio, CKI (Cell-type Ka/Ks-inspired Index) decomposes divergence into a baseline rate k_n (housekeeping genes) and a functional rate k_f (identity genes); ω = k_f/k_n quantifies baseline-normalized functional divergence.</w:t>
      </w:r>
    </w:p>
    <w:p>
      <w:pPr>
        <w:spacing w:line="276" w:lineRule="auto" w:after="80"/>
      </w:pPr>
      <w:r>
        <w:rPr>
          <w:rFonts w:ascii="Arial" w:hAnsi="Arial"/>
          <w:b/>
          <w:color w:val="000000"/>
          <w:sz w:val="22"/>
        </w:rPr>
        <w:t xml:space="preserve">Results. </w:t>
      </w:r>
      <w:r>
        <w:rPr>
          <w:rFonts w:ascii="Arial" w:hAnsi="Arial"/>
          <w:color w:val="000000"/>
          <w:sz w:val="22"/>
        </w:rPr>
        <w:t>In ground-truth simulation, ω alone rejected neutral housekeeping drift (false-positive rate 0.00, versus 0.55–0.58 for raw JS and cosine) and ranked first for functional-versus-neutral discrimination (AUC = 0.80), at the cost of bounded power and blindness to anchor-located signal; the low false-positive rate is no anchoring artifact, staying ≤ 0.067 under expression-matched non-housekeeping drift (raw JS and cosine at moderate-to-strong drift: 0.81–1.00). We evaluated CKI on mouse, human, pan-cancer (TCGA; exploratory), and brain datasets. Calibration established an equivalent-population baseline (ω = 7.70, 95% CI [7.37, 8.02]). CKI ω correlated negatively with all standard distance metrics (Spearman r = −0.36 to −0.46), partly a k_n-denominator artifact. Brain analysis indicated a 6.10-fold regional differentiation gradient across 10 non-neuronal classes—an upper bound inflated by class-size imbalance (equal-n downsampling: 1.74 [1.64, 1.84])—predominantly k_n-driven (3.21-fold k_n versus 2.03-fold k_f); under a block-shuffle null, four of ten classes showed significant regional structure (three after FDR correction), but no pair survived correction. Per-pair gene selection inflates k_f (median 1.6-fold) but preserves rankings (ρ ≈ 0.92).</w:t>
      </w:r>
    </w:p>
    <w:p>
      <w:pPr>
        <w:spacing w:line="276" w:lineRule="auto" w:after="80"/>
      </w:pPr>
      <w:r>
        <w:rPr>
          <w:rFonts w:ascii="Arial" w:hAnsi="Arial"/>
          <w:b/>
          <w:color w:val="000000"/>
          <w:sz w:val="22"/>
        </w:rPr>
        <w:t xml:space="preserve">Conclusions. </w:t>
      </w:r>
      <w:r>
        <w:rPr>
          <w:rFonts w:ascii="Arial" w:hAnsi="Arial"/>
          <w:color w:val="000000"/>
          <w:sz w:val="22"/>
        </w:rPr>
        <w:t>CKI provides an interpretable, baseline-normalized index of cell-state divergence whose rankings are robust to gene-panel choice, with a practical window of ~50–200 cells per donor per condition, and is freely available as an open-source package.</w:t>
      </w:r>
    </w:p>
    <w:p>
      <w:pPr>
        <w:jc w:val="center"/>
      </w:pPr>
      <w:r>
        <w:rPr>
          <w:rFonts w:ascii="Arial" w:hAnsi="Arial"/>
          <w:color w:val="000000"/>
          <w:sz w:val="20"/>
        </w:rPr>
        <w:t>Keywords: cell-state divergence, housekeeping genes, Jensen-Shannon decomposition, baseline-normalized divergence, single-cell genomics</w:t>
      </w:r>
    </w:p>
    <w:p>
      <w:pPr>
        <w:pStyle w:val="Heading1"/>
        <w:spacing w:before="420" w:after="160"/>
      </w:pPr>
      <w:r>
        <w:rPr>
          <w:rFonts w:ascii="Arial" w:hAnsi="Arial"/>
          <w:color w:val="000000"/>
          <w:sz w:val="28"/>
          <w:b/>
        </w:rPr>
        <w:t>Background</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[1], where donor- and batch-level variation often dominates over cell-type identity. Methods such as Harmony [2], scVI [3], and SATURN [4] remove such nuisance variation [5],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This question mirrors one addressed in molecular evolution. The Ka/Ks ratio (dN/dS) distinguishes nonsynonymous changes (Ka, which alter the protein) from synonymous changes (Ks, largely silent) [6,7],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Additional file 1: Note 3.12)—inflating the denominator and deflating the ratio. In such regimes ω must be read alongside its components, and k_f with a design-matched null is the honest default for ordering claims (Results; Limitations).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We evaluated CKI across four scales. First, we calibrated CKI on Tabula Muris mouse data [8]: random splits of the same cell population yield ω above 1 (empirical calibration baseline 7.70, 95% CI [7.37, 8.02]). Second, in Tabula Sapiens human data [9],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[10,11], CKI suggested that tumors appear more transcriptionally homogeneous than adjacent non-tumor tissues at bulk resolution (an exploratory observation; see Results for caveats). Fourth, in a human brain single-nucleus atlas [12],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[13],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Additional file 1: Fig. S1),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Additional file 1: Fig. S1; Additional file 1: Table S1).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We calibrated CKI on the Tabula Muris FACS dataset [8] (SmartSeq2, 15,057 cells, 22,308 genes, 6 organs). Housekeeping genes were loaded from the HRT Atlas v1.0 reference [13] (mouse ortholog column). For the full pairwise matrix (703 pairs, Additional file 1: Fig.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Additional file 1: Note 3.21),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(Additional file 1: Note 3.5).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(Additional file 1: Note 3.20). We recommend per-class calibration for within-dataset class contrasts; calibrated values accompany raw ω in all key results (Additional file 1: Fig. S2),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We extended CKI to the Tabula Sapiens human atlas [9] (108,136 cells; 102 cell-type entries, 99 of which passed the pairwise-analysis filters and contributed 4,851 pairs across six organs). We used the same hybrid scheme as the mouse pilot, with HK genes from the HRT Atlas v1.0 reference [13]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dissociates specificity from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(Additional file 1: Note 3.12).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(Additional file 1: Note 3.22).</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(Additional file 1: Note 3.12).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How ω behaves on a real perturbation whose effect on the housekeeping anchor is unknown was tested on peripheral blood mononuclear cells from eight donors, control versus 6-hour IFN-β stimulation [14]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(Additional file 1: Fig. S12; Additional file 1: Note 3.15).</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We benchmarked CKI against MELD (v1.0.2) and scDist on the Kang IFN-β dataset [14]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w:t>
      </w:r>
    </w:p>
    <w:p>
      <w:pPr>
        <w:pStyle w:val="Heading2"/>
        <w:spacing w:before="420" w:after="160"/>
      </w:pPr>
      <w:r>
        <w:rPr>
          <w:rFonts w:ascii="Arial" w:hAnsi="Arial"/>
          <w:color w:val="000000"/>
          <w:sz w:val="24"/>
          <w:b/>
        </w:rPr>
        <w:t>Fixed gene-panel ablation: rankings robust, absolute ω scheme-specific</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(Additional file 1: Note 3.13).</w:t>
      </w:r>
    </w:p>
    <w:p>
      <w:pPr>
        <w:pStyle w:val="Heading2"/>
        <w:spacing w:before="420" w:after="160"/>
      </w:pPr>
      <w:r>
        <w:rPr>
          <w:rFonts w:ascii="Arial" w:hAnsi="Arial"/>
          <w:color w:val="000000"/>
          <w:sz w:val="24"/>
          <w:b/>
        </w:rPr>
        <w:t>Cancer analysis suggests apparent tumor homogeneity (exploratory)</w:t>
      </w:r>
    </w:p>
    <w:p>
      <w:pPr>
        <w:spacing w:line="276" w:lineRule="auto" w:after="80"/>
        <w:ind w:firstLine="0"/>
      </w:pPr>
      <w:r>
        <w:rPr>
          <w:rFonts w:ascii="Arial" w:hAnsi="Arial"/>
          <w:b w:val="0"/>
          <w:i w:val="0"/>
          <w:color w:val="000000"/>
          <w:sz w:val="22"/>
        </w:rP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(Fig. 4; Additional file 1: Fig. S3).</w:t>
      </w:r>
    </w:p>
    <w:p>
      <w:pPr>
        <w:spacing w:line="276" w:lineRule="auto" w:after="80"/>
        <w:ind w:firstLine="0"/>
      </w:pPr>
      <w:r>
        <w:rPr>
          <w:rFonts w:ascii="Arial" w:hAnsi="Arial"/>
          <w:b w:val="0"/>
          <w:i w:val="0"/>
          <w:color w:val="000000"/>
          <w:sz w:val="22"/>
        </w:rPr>
        <w:t>The TCGA analysis is exploratory: bulk RNA-seq cannot distinguish genuine transcriptional convergence of tumor cells from cell-composition shifts (tumor purity, stromal and immune infiltration), peritumoral inflammation shared across tumors, or systematic RNA quality differences between tumor and normal specimens; moreover, TCGA "normal" samples are adjacent non-tumor tissues from cancer patients, not healthy donor tissue, so NN comparisons quantify heterogeneity among adjacent non-tumor specimens. With these caveats, a notable observation, at bulk RNA-seq resolution, was that tumors appeared more transcriptionally homogeneous than adjacent non-tumor tissues: in all five cancer types the median NN/TT ω ratio exceeded 1.0. Liver cancer (LIHC) showed the smallest contrast (median NN/TT = 1.23), lung adenocarcinoma (LUAD) the largest (median NN/TT = 2.32), with intermediate values for BRCA (1.51), LUSC (1.77), and KIRC (2.19). Component decomposition shows this ratio is predominantly a denominator effect: tumor-tumor pairs have higher k_f (NN/TT k_f ratio 0.54–0.74) and normal-normal pairs lower k_n (NN/TT k_n ratio 0.27–0.46), so the ω reversal reflects a more stable housekeeping baseline among adjacent non-tumor specimens rather than smaller functional-gene divergence of tumor cells. A four-panel marker composition check (immune, myeloid, stromal, epithelial) with sample-level cluster bootstrap intervals finds the pooled tumor-pair k_n coefficient essentially unchanged after composition adjustment (−0.5%, bootstrap 95% CI [−3.2%, +2.6%]; per cancer type −14% to +34%; linear-normalization sensitivity −0.8% [−4.1%, +2.6%]), so marker-measurable composition explains little of the pooled reversal, although as a noisy proxy it bounds rather than settles the question (Additional file 1: Note 5.2). Single-cell or deconvolution-based analyses would be needed to disentangle these alternatives. The probability mapping itself is also robust: recomputing all TCGA analyses under a linear normalization (Methods) left every qualitative conclusion unchanged—the NN/TT reversal in all five cancer types (tumor–normal ω 0.70–0.84 across cancer types, all &lt; 1), near-zero denominator-floor saturation (&lt; 0.1% of pairs), and the severity-gradient directions—with full numerical results in Additional file 1.</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where paired comparisons are same-patient tumor-normal pairs and the unpaired comparator averages all cross-patient tumor-normal pairs, not (mean ω_TT + mean ω_NN)/2).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Within cancer types, ω tracked clinical severity in consistent directions: in liver cancer ω was highest in Edmondson G1 and lower in G2–G4 [15]; in breast cancer PAM50 subtypes [16,17] ordered Luminal A &gt; Luminal B &gt; HER2-enriched &gt; Basal-like &gt; Normal-like; and in LUAD KRAS-mutant tumors exceeded EGFR-mutant tumors, which exceeded wild-type. All three directions were preserved under the linear probability-mapping recomputation (Methods). Component controls, however, qualify every gradient: the liver and breast orderings reverse or largely reverse under k_f alone, so we present this analysis strictly as an exploratory vignette, denominator-dominated, that describes how the ratio behaves across strata rather than a functional-divergence ordering—the LUAD mutation contrast, which persists under k_f-only, is the partial exception, and the PAM50 gradient may additionally reflect proliferative-fraction differences (Basal-like tumors proliferate fastest). All stratum means, sample sizes, and test statistics are reported in Additional file 1.</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Additional file 1: Note 3.16.</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Of the 4,851 Tabula Sapiens cell-type pairs, 59 are same-cell-type cross-organ comparisons, which ask which cell types maintain their identity regardless of residence and which are shaped by their organ environment (Fig. 5; Table 2; Additional file 1: Fig. S4). The cross-organ ω ranking reveals a broad spectrum of conservation across 17 cell types, of which only the extremes reproduce under k_f (Additional file 1: Note 3.16)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[18],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Additional file 1: Table S2), because CKI explicitly normalizes: two populations may share highly expressed genes (high Jaccard similarity), yet a low baseline k_n turns modest functional differences into high ω. A k_f-only control qualifies the ranking’s interpretation (Additional file 1: Note 3.16):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cell-type divergence gradients</w:t>
      </w:r>
    </w:p>
    <w:p>
      <w:pPr>
        <w:spacing w:line="276" w:lineRule="auto" w:after="80"/>
        <w:ind w:firstLine="0"/>
      </w:pPr>
      <w:r>
        <w:rPr>
          <w:rFonts w:ascii="Arial" w:hAnsi="Arial"/>
          <w:b w:val="0"/>
          <w:i w:val="0"/>
          <w:color w:val="000000"/>
          <w:sz w:val="22"/>
        </w:rPr>
        <w:t>We applied CKI to the Siletti et al. human brain single-nucleus atlas [12]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Additional file 1: Fig. S5; Additional file 1: Table S3).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Additional file 1: Note 3.21;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Note 3.21).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(Additional file 1: Fig. S6).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Additional file 1: Note 3.17).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(Additional file 1: Note 3.17).</w:t>
      </w:r>
    </w:p>
    <w:p>
      <w:pPr>
        <w:spacing w:line="276" w:lineRule="auto" w:after="80"/>
        <w:ind w:firstLine="0"/>
      </w:pPr>
      <w:r>
        <w:rPr>
          <w:rFonts w:ascii="Arial" w:hAnsi="Arial"/>
          <w:b w:val="0"/>
          <w:i w:val="0"/>
          <w:color w:val="000000"/>
          <w:sz w:val="22"/>
        </w:rPr>
        <w:t>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[19]; meningeal structure differs across compartments [20]). Microglia showed intermediate divergence: regional phenotypes vary but core surveillance machinery is shared [21].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for a cell type across two regions indicates transcriptomic similarity beyond baseline expectation, arising from non-exclusive mechanisms (developmental origin heterogeneity, embryonic colonization route boundaries [22-24], compartmentalized developmental specification, postnatal migration [25,26]).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Additional file 1: Note 3.14).</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Additional file 1: Fig. S7).</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(Additional file 1: Table S4). Under the block-shuffle null (B = 1,000; Additional file 1: Fig. S8),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Additional file 1: Note 4.6; Additional file 1: Fig. S13).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pStyle w:val="Heading3"/>
        <w:spacing w:before="420" w:after="160"/>
      </w:pPr>
      <w:r>
        <w:rPr>
          <w:rFonts w:ascii="Arial" w:hAnsi="Arial"/>
          <w:color w:val="000000"/>
          <w:sz w:val="22"/>
          <w:b/>
        </w:rPr>
        <w:t>Microglia: composition of the largest candidate share</w:t>
      </w:r>
    </w:p>
    <w:p>
      <w:pPr>
        <w:spacing w:line="276" w:lineRule="auto" w:after="80"/>
        <w:ind w:firstLine="0"/>
      </w:pPr>
      <w:r>
        <w:rPr>
          <w:rFonts w:ascii="Arial" w:hAnsi="Arial"/>
          <w:b w:val="0"/>
          <w:i w:val="0"/>
          <w:color w:val="000000"/>
          <w:sz w:val="22"/>
        </w:rPr>
        <w:t>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Additional file 1: Note 3.14). With no candidate surviving FDR correction and the concentration mirroring the rule’s bias, these entries are hypothesis-generating targets for spatial-transcriptomic and lineage follow-up [21], not evidence of microglia-specific regional association.</w:t>
      </w:r>
    </w:p>
    <w:p>
      <w:pPr>
        <w:pStyle w:val="Heading3"/>
        <w:spacing w:before="420" w:after="160"/>
      </w:pPr>
      <w:r>
        <w:rPr>
          <w:rFonts w:ascii="Arial" w:hAnsi="Arial"/>
          <w:color w:val="000000"/>
          <w:sz w:val="22"/>
          <w:b/>
        </w:rPr>
        <w:t>Oligodendrocytes: thalamo-temporal convergence</w:t>
      </w:r>
    </w:p>
    <w:p>
      <w:pPr>
        <w:spacing w:line="276" w:lineRule="auto" w:after="80"/>
        <w:ind w:firstLine="0"/>
      </w:pPr>
      <w:r>
        <w:rPr>
          <w:rFonts w:ascii="Arial" w:hAnsi="Arial"/>
          <w:b w:val="0"/>
          <w:i w:val="0"/>
          <w:color w:val="000000"/>
          <w:sz w:val="22"/>
        </w:rPr>
        <w:t>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Additional file 1: Note 5.1). Adult oligodendrocytes are generally non-migratory between regions; Foerster et al. [27]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[28,29]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[30]; cerebellar molecular topography [28]),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[31], and the constrained-variance property of housekeeping genes has been characterized at the genomic level [13,32]. The idea that an intrinsic, gene-property-dependent noise floor can serve as a baseline has likewise been central to the transcriptional-noise literature [33-35],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We also compared CKI with Augur [56], which prioritizes cell types by how predictable a condition is from single-cell expression, on the brain atlas (pure-Python port of Augur v1.0.3; 33,036 stratified nuclei; 10 non-neuronal classes; condition label = brain region; Additional file 1: Note 3.23).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requiring cautious interpretation: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(Additional file 1: Note 5.2):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[38] or RNA-quality differences instead, and single-cell or deconvolution-based validation remains necessary. The PAM50 gradient cannot be read as a functional-divergence ordering: under k_f-only analysis the subtype ordering largely reverses (Luminal A lowest mean k_f, Basal-like highest; Additional file 1: Note 3.16),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Additional file 1: Note 3.21),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Additional file 1: Note 5.1—rather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[27]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[39] was limited by the small number of directly comparable cell types: across the 15 shared cell types, per-cell-type mean ω rankings showed no significant cross-species correlation (Spearman r = −0.17, P = 0.55; Additional file 1: Fig. S9),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[40,41],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Additional file 1: Note 5.1).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[27]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pStyle w:val="Heading2"/>
        <w:spacing w:before="420" w:after="160"/>
      </w:pPr>
      <w:r>
        <w:rPr>
          <w:rFonts w:ascii="Arial" w:hAnsi="Arial"/>
          <w:color w:val="000000"/>
          <w:sz w:val="24"/>
          <w:b/>
        </w:rPr>
        <w:t>When to use CKI versus standard metrics</w:t>
      </w:r>
    </w:p>
    <w:p>
      <w:pPr>
        <w:spacing w:line="276" w:lineRule="auto" w:after="80"/>
        <w:ind w:firstLine="0"/>
      </w:pPr>
      <w:r>
        <w:rPr>
          <w:rFonts w:ascii="Arial" w:hAnsi="Arial"/>
          <w:b w:val="0"/>
          <w:i w:val="0"/>
          <w:color w:val="000000"/>
          <w:sz w:val="22"/>
        </w:rPr>
        <w:t>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severity gradients predominantly denominator effects; cross-organ cell-type ranking not reproduced under k_f-only; Additional file 1: Note 3.16), so the honest default for ordering claims is k_f plus a design-matched null, with ω reserved for its specificity-first property—rejecting HK-anchored neutral drift—rather than for ranking. A real perturbation demonstration (Kang et al. [14];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(Additional file 1: Fig. S12).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pStyle w:val="Heading2"/>
        <w:spacing w:before="420" w:after="160"/>
      </w:pPr>
      <w:r>
        <w:rPr>
          <w:rFonts w:ascii="Arial" w:hAnsi="Arial"/>
          <w:color w:val="000000"/>
          <w:sz w:val="24"/>
          <w:b/>
        </w:rPr>
        <w:t>Practical usage guide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pStyle w:val="Heading2"/>
        <w:spacing w:before="420" w:after="160"/>
      </w:pPr>
      <w:r>
        <w:rPr>
          <w:rFonts w:ascii="Arial" w:hAnsi="Arial"/>
          <w:color w:val="000000"/>
          <w:sz w:val="24"/>
          <w:b/>
        </w:rPr>
        <w:t>Limitations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Additional file 1: Fig. S10),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Gene-set definition, calibration, and estimator dependence. CKI uses the HRT Atlas v1.0 reference [13]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[38], potentially affecting the k_n baseline in a disease-specific manner—one instance of the anchor-failure scope stated with the concept definition (Background). The empirical calibration factor (ω_cal = ω / 7.70, 95% CI [7.37, 8.02]) derives from mouse split-half controls (50 replicates across six control populations) under the per-pair DE hybrid scheme; the mouse full pairwise matrix (703 pairs, Additional file 1: Fig. S1)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(Additional file 1: Note 3.6 excludes dimension effects but not expression-level effects); the ‘functional’ reading of k_f should be tempered accordingly. A semi-synthetic ground-truth simulation (module-shift injection on a real single-cell background; Additional file 1: Note 3.12)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(Additional file 1: Note 3.22).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Additional file 1: Note 4.6, Fig. S13).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pStyle w:val="Heading1"/>
        <w:spacing w:before="420" w:after="160"/>
      </w:pPr>
      <w:r>
        <w:rPr>
          <w:rFonts w:ascii="Arial" w:hAnsi="Arial"/>
          <w:color w:val="000000"/>
          <w:sz w:val="28"/>
          <w:b/>
        </w:rPr>
        <w:t>Conclusions</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[42].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[43]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Additional file 1.</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Additional file 1: Fig. S11).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[44]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[45] with flavor="seurat" [46,47] and n_top_genes=2,000.</w:t>
      </w:r>
    </w:p>
    <w:p>
      <w:pPr>
        <w:spacing w:line="276" w:lineRule="auto" w:after="80"/>
        <w:ind w:firstLine="0"/>
      </w:pPr>
      <w:r>
        <w:rPr>
          <w:rFonts w:ascii="Arial" w:hAnsi="Arial"/>
          <w:b w:val="0"/>
          <w:i w:val="0"/>
          <w:color w:val="000000"/>
          <w:sz w:val="22"/>
        </w:rP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TCGA bulk RNA-seq [48]: five cancer types from NCI Genomic Data Commons, accessed via TCGAbiolinks [49] and cBioPortal [50] APIs. LUAD: 495 tumor + 76 normal; LUSC: 567 tumor + 58 normal; LIHC: 365 tumor + 57 normal; KIRC: 755 tumor + 82 normal; BRCA: 1032 tumor + 109 normal. TPM values from UCSC Xena; within each cancer type, genes with mean expression below 0.5 TPM were removed, and the retained values were log2(TPM + 1) transformed. BRCA PAM50 subtype assignments [16,17] were retrieved from cBioPortal (brca_tcga_pub study, PAM50_SUBTYPE clinical attribute; 522 samples with subtype calls). LIHC Edmondson grade [15]: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[12]: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Statistical reporting),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Additional file 1: Note 4.6).</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Additional file 1: Note 3.12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Note 3.15):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Additional file 1: Note 3.13 and the results/fixed_panel_ablation_* files of the companion repository.</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BRCA PAM50 subtype calls [16,17]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[15]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Additional file 1: Note 3.16).</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is under 5 minutes on a standard laptop; the full brain analysis (31,764 pairs) required approximately 72 core-hours on a Windows x64 workstation with at least 32 GB RAM (the verified environment of the Reproducibility Guide, Section 1.3; Additional file 2). All analyses were performed in Python 3.14.4 with scanpy 1.12.1 [45], scipy ≥ 1.10.0, numpy ≥ 1.23.0, pandas ≥ 1.5.0, matplotlib ≥ 3.6.0, seaborn [51] ≥ 0.12.0, and scikit-learn [52]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Resampling-based inference [53]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[44]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(Additional file 1: Note 3.5;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List of abbreviations</w:t>
      </w:r>
    </w:p>
    <w:p>
      <w:pPr>
        <w:spacing w:line="276" w:lineRule="auto" w:after="80"/>
        <w:ind w:firstLine="0"/>
      </w:pPr>
      <w:r>
        <w:rPr>
          <w:rFonts w:ascii="Arial" w:hAnsi="Arial"/>
          <w:b w:val="0"/>
          <w:i w:val="0"/>
          <w:color w:val="000000"/>
          <w:sz w:val="22"/>
        </w:rPr>
        <w:t>AUC, area under the ROC curve; BH, Benjamini-Hochberg; CKI, Cell-type Ka/Ks-inspired Index; CV, coefficient of variation; DE, differentially expressed; FDR, false discovery rate; GSVA, gene set variation analysis; HK, housekeeping; HVG, highly variable gene; IQR, interquartile range; JS, Jensen-Shannon; OPC, oligodendrocyte precursor cell; PAM50, prediction analysis of microarray 50; QC, quality control; ROC, receiver operating characteristic; SD, standard deviation; SES, standardized effect size; TCGA, The Cancer Genome Atlas.</w:t>
      </w:r>
    </w:p>
    <w:p>
      <w:pPr>
        <w:pStyle w:val="Heading1"/>
        <w:spacing w:before="420" w:after="160"/>
      </w:pPr>
      <w:r>
        <w:rPr>
          <w:rFonts w:ascii="Arial" w:hAnsi="Arial"/>
          <w:color w:val="000000"/>
          <w:sz w:val="28"/>
          <w:b/>
        </w:rPr>
        <w:t>Declarations</w:t>
      </w:r>
    </w:p>
    <w:p>
      <w:pPr>
        <w:pStyle w:val="Heading2"/>
        <w:spacing w:before="420" w:after="160"/>
      </w:pPr>
      <w:r>
        <w:rPr>
          <w:rFonts w:ascii="Arial" w:hAnsi="Arial"/>
          <w:color w:val="000000"/>
          <w:sz w:val="24"/>
          <w:b/>
        </w:rPr>
        <w:t>Ethics approval and consent to participate</w:t>
      </w:r>
    </w:p>
    <w:p>
      <w:pPr>
        <w:spacing w:line="276" w:lineRule="auto" w:after="80"/>
        <w:ind w:firstLine="0"/>
      </w:pPr>
      <w:r>
        <w:rPr>
          <w:rFonts w:ascii="Arial" w:hAnsi="Arial"/>
          <w:b w:val="0"/>
          <w:i w:val="0"/>
          <w:color w:val="000000"/>
          <w:sz w:val="22"/>
        </w:rPr>
        <w:t>Not applicable. This study analysed only publicly available, de-identified datasets and did not involve human participants, human tissue, or animals.</w:t>
      </w:r>
    </w:p>
    <w:p>
      <w:pPr>
        <w:pStyle w:val="Heading2"/>
        <w:spacing w:before="420" w:after="160"/>
      </w:pPr>
      <w:r>
        <w:rPr>
          <w:rFonts w:ascii="Arial" w:hAnsi="Arial"/>
          <w:color w:val="000000"/>
          <w:sz w:val="24"/>
          <w:b/>
        </w:rPr>
        <w:t>Consent for publication</w:t>
      </w:r>
    </w:p>
    <w:p>
      <w:pPr>
        <w:spacing w:line="276" w:lineRule="auto" w:after="80"/>
        <w:ind w:firstLine="0"/>
      </w:pPr>
      <w:r>
        <w:rPr>
          <w:rFonts w:ascii="Arial" w:hAnsi="Arial"/>
          <w:b w:val="0"/>
          <w:i w:val="0"/>
          <w:color w:val="000000"/>
          <w:sz w:val="22"/>
        </w:rPr>
        <w:t>Not applicable.</w:t>
      </w:r>
    </w:p>
    <w:p>
      <w:pPr>
        <w:pStyle w:val="Heading2"/>
        <w:spacing w:before="420" w:after="160"/>
      </w:pPr>
      <w:r>
        <w:rPr>
          <w:rFonts w:ascii="Arial" w:hAnsi="Arial"/>
          <w:color w:val="000000"/>
          <w:sz w:val="24"/>
          <w:b/>
        </w:rPr>
        <w:t>Availability of data and materials</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[54]. TCGA data: NCI Genomic Data Commons (https://portal.gdc.cancer.gov/). HRT Atlas (optional human/mouse HK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[16,17]). MSigDB Hallmark gene sets: from Liberzon et al. [55]. 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2"/>
        <w:spacing w:before="420" w:after="160"/>
      </w:pPr>
      <w:r>
        <w:rPr>
          <w:rFonts w:ascii="Arial" w:hAnsi="Arial"/>
          <w:color w:val="000000"/>
          <w:sz w:val="24"/>
          <w:b/>
        </w:rPr>
        <w:t>Competing interests</w:t>
      </w:r>
    </w:p>
    <w:p>
      <w:pPr>
        <w:spacing w:line="276" w:lineRule="auto" w:after="80"/>
        <w:ind w:firstLine="0"/>
      </w:pPr>
      <w:r>
        <w:rPr>
          <w:rFonts w:ascii="Arial" w:hAnsi="Arial"/>
          <w:b w:val="0"/>
          <w:i w:val="0"/>
          <w:color w:val="000000"/>
          <w:sz w:val="22"/>
        </w:rPr>
        <w:t>The authors declare that they have no competing interests.</w:t>
      </w:r>
    </w:p>
    <w:p>
      <w:pPr>
        <w:pStyle w:val="Heading2"/>
        <w:spacing w:before="420" w:after="160"/>
      </w:pPr>
      <w:r>
        <w:rPr>
          <w:rFonts w:ascii="Arial" w:hAnsi="Arial"/>
          <w:color w:val="000000"/>
          <w:sz w:val="24"/>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w:t>
      </w:r>
    </w:p>
    <w:p>
      <w:pPr>
        <w:pStyle w:val="Heading2"/>
        <w:spacing w:before="420" w:after="160"/>
      </w:pPr>
      <w:r>
        <w:rPr>
          <w:rFonts w:ascii="Arial" w:hAnsi="Arial"/>
          <w:color w:val="000000"/>
          <w:sz w:val="24"/>
          <w:b/>
        </w:rPr>
        <w:t>Authors'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2"/>
        <w:spacing w:before="420" w:after="160"/>
      </w:pPr>
      <w:r>
        <w:rPr>
          <w:rFonts w:ascii="Arial" w:hAnsi="Arial"/>
          <w:color w:val="000000"/>
          <w:sz w:val="24"/>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Additional files</w:t>
      </w:r>
    </w:p>
    <w:p>
      <w:pPr>
        <w:spacing w:line="276" w:lineRule="auto" w:after="80"/>
        <w:ind w:firstLine="0"/>
      </w:pPr>
      <w:r>
        <w:rPr>
          <w:rFonts w:ascii="Arial" w:hAnsi="Arial"/>
          <w:b w:val="0"/>
          <w:i w:val="0"/>
          <w:color w:val="000000"/>
          <w:sz w:val="22"/>
        </w:rPr>
        <w:t>Additional file 1: CKI supplementary notes. Format: DOCX. Title: CKI: Supplementary Notes. Description: extended methods and supplementary analyses, including Supplementary Figures S1–S13 and Supplementary Tables S1–S4.</w:t>
      </w:r>
    </w:p>
    <w:p>
      <w:pPr>
        <w:spacing w:line="276" w:lineRule="auto" w:after="80"/>
        <w:ind w:firstLine="0"/>
      </w:pPr>
      <w:r>
        <w:rPr>
          <w:rFonts w:ascii="Arial" w:hAnsi="Arial"/>
          <w:b w:val="0"/>
          <w:i w:val="0"/>
          <w:color w:val="000000"/>
          <w:sz w:val="22"/>
        </w:rPr>
        <w:t>Additional file 2: CKI Reproducibility Guide. Format: DOCX. Title: CKI Reproducibility Guide. Description: step-by-step instructions, verified computational environment, and spot-check values for reproducing all analyses, figures, and tables reported in this work.</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pStyle w:val="Heading1"/>
        <w:spacing w:before="420" w:after="160"/>
      </w:pPr>
      <w:r>
        <w:rPr>
          <w:rFonts w:ascii="Arial" w:hAnsi="Arial"/>
          <w:color w:val="000000"/>
          <w:sz w:val="28"/>
          <w:b/>
        </w:rPr>
        <w:t>Additional file 1: Supplementary figure legends</w:t>
      </w:r>
    </w:p>
    <w:p>
      <w:pPr>
        <w:spacing w:line="276" w:lineRule="auto" w:after="80"/>
        <w:ind w:firstLine="0"/>
      </w:pPr>
      <w:r>
        <w:rPr>
          <w:rFonts w:ascii="Arial" w:hAnsi="Arial"/>
          <w:b w:val="0"/>
          <w:i w:val="0"/>
          <w:color w:val="000000"/>
          <w:sz w:val="22"/>
        </w:rPr>
        <w:t>Additional file 1: Figure S1.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Additional file 1: Figure S2.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Additional file 1: Figure S3.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Additional file 1: Figure S4.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Additional file 1: Figure S5.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Additional file 1: Figure S6.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Additional file 1: Figure S7.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Additional file 1: Figure S8.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Additional file 1: Figure S9.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Additional file 1: Figure S10.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Additional file 1: Figure S11.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spacing w:line="276" w:lineRule="auto" w:after="80"/>
        <w:ind w:firstLine="0"/>
      </w:pPr>
      <w:r>
        <w:rPr>
          <w:rFonts w:ascii="Arial" w:hAnsi="Arial"/>
          <w:b w:val="0"/>
          <w:i w:val="0"/>
          <w:color w:val="000000"/>
          <w:sz w:val="22"/>
        </w:rPr>
        <w:t>Additional file 1: Figure S12.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Additional file 1: Figure S13.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1. Regev A, Teichmann SA, Lander ES, Amit I, Benoist C, Birney E, et al. The Human Cell Atlas. Elife. 2017;6:e27041.</w:t>
      </w:r>
    </w:p>
    <w:p>
      <w:pPr>
        <w:spacing w:line="276" w:lineRule="auto" w:after="60"/>
      </w:pPr>
      <w:r>
        <w:rPr>
          <w:rFonts w:ascii="Arial" w:hAnsi="Arial"/>
          <w:color w:val="000000"/>
          <w:sz w:val="20"/>
        </w:rPr>
        <w:t>2. Korsunsky I, Millard N, Fan J, Slowikowski K, Zhang F, Wei K, et al. Fast, sensitive and accurate integration of single-cell data with Harmony. Nat Methods. 2019;16:1289-96.</w:t>
      </w:r>
    </w:p>
    <w:p>
      <w:pPr>
        <w:spacing w:line="276" w:lineRule="auto" w:after="60"/>
      </w:pPr>
      <w:r>
        <w:rPr>
          <w:rFonts w:ascii="Arial" w:hAnsi="Arial"/>
          <w:color w:val="000000"/>
          <w:sz w:val="20"/>
        </w:rPr>
        <w:t>3. Lopez R, Regier J, Cole MB, Jordan MI, Yosef N. Deep generative modeling for single-cell transcriptomics. Nat Methods. 2018;15:1053-8.</w:t>
      </w:r>
    </w:p>
    <w:p>
      <w:pPr>
        <w:spacing w:line="276" w:lineRule="auto" w:after="60"/>
      </w:pPr>
      <w:r>
        <w:rPr>
          <w:rFonts w:ascii="Arial" w:hAnsi="Arial"/>
          <w:color w:val="000000"/>
          <w:sz w:val="20"/>
        </w:rPr>
        <w:t>4. Rosen Y, Brbic M, Roohani Y, Swanson K, Li Z, Leskovec J. Toward universal cell embeddings: integrating single-cell RNA-seq datasets across species with SATURN. Nat Methods. 2024;21:1492-500.</w:t>
      </w:r>
    </w:p>
    <w:p>
      <w:pPr>
        <w:spacing w:line="276" w:lineRule="auto" w:after="60"/>
      </w:pPr>
      <w:r>
        <w:rPr>
          <w:rFonts w:ascii="Arial" w:hAnsi="Arial"/>
          <w:color w:val="000000"/>
          <w:sz w:val="20"/>
        </w:rPr>
        <w:t>5. Tran HTN, Ang KS, Chevrier M, Zhang X, Lee NYS, Goh M, et al. A benchmark of batch-effect correction methods for single-cell RNA sequencing data. Genome Biol. 2020;21:12.</w:t>
      </w:r>
    </w:p>
    <w:p>
      <w:pPr>
        <w:spacing w:line="276" w:lineRule="auto" w:after="60"/>
      </w:pPr>
      <w:r>
        <w:rPr>
          <w:rFonts w:ascii="Arial" w:hAnsi="Arial"/>
          <w:color w:val="000000"/>
          <w:sz w:val="20"/>
        </w:rPr>
        <w:t>6. Nei M, Gojobori T. Simple methods for estimating the numbers of synonymous and nonsynonymous nucleotide substitutions. Mol Biol Evol. 1986;3:418-26.</w:t>
      </w:r>
    </w:p>
    <w:p>
      <w:pPr>
        <w:spacing w:line="276" w:lineRule="auto" w:after="60"/>
      </w:pPr>
      <w:r>
        <w:rPr>
          <w:rFonts w:ascii="Arial" w:hAnsi="Arial"/>
          <w:color w:val="000000"/>
          <w:sz w:val="20"/>
        </w:rPr>
        <w:t>7. Yang Z. PAML 4: phylogenetic analysis by maximum likelihood. Mol Biol Evol. 2007;24:1586-91.</w:t>
      </w:r>
    </w:p>
    <w:p>
      <w:pPr>
        <w:spacing w:line="276" w:lineRule="auto" w:after="60"/>
      </w:pPr>
      <w:r>
        <w:rPr>
          <w:rFonts w:ascii="Arial" w:hAnsi="Arial"/>
          <w:color w:val="000000"/>
          <w:sz w:val="20"/>
        </w:rPr>
        <w:t>8. Tabula Muris Consortium. Single-cell transcriptomics of 20 mouse organs creates a Tabula Muris. Nature. 2018;562:367-72.</w:t>
      </w:r>
    </w:p>
    <w:p>
      <w:pPr>
        <w:spacing w:line="276" w:lineRule="auto" w:after="60"/>
      </w:pPr>
      <w:r>
        <w:rPr>
          <w:rFonts w:ascii="Arial" w:hAnsi="Arial"/>
          <w:color w:val="000000"/>
          <w:sz w:val="20"/>
        </w:rPr>
        <w:t>9. Tabula Sapiens Consortium. The Tabula Sapiens: a multiple-organ, single-cell transcriptomic atlas of humans. Science. 2022;376:eabl4896.</w:t>
      </w:r>
    </w:p>
    <w:p>
      <w:pPr>
        <w:spacing w:line="276" w:lineRule="auto" w:after="60"/>
      </w:pPr>
      <w:r>
        <w:rPr>
          <w:rFonts w:ascii="Arial" w:hAnsi="Arial"/>
          <w:color w:val="000000"/>
          <w:sz w:val="20"/>
        </w:rPr>
        <w:t>10. Cancer Genome Atlas Research Network. Comprehensive molecular profiling of lung adenocarcinoma. Nature. 2014;511:543-50.</w:t>
      </w:r>
    </w:p>
    <w:p>
      <w:pPr>
        <w:spacing w:line="276" w:lineRule="auto" w:after="60"/>
      </w:pPr>
      <w:r>
        <w:rPr>
          <w:rFonts w:ascii="Arial" w:hAnsi="Arial"/>
          <w:color w:val="000000"/>
          <w:sz w:val="20"/>
        </w:rPr>
        <w:t>11. Cancer Genome Atlas Network. Comprehensive molecular portraits of human breast tumours. Nature. 2012;490:61-70.</w:t>
      </w:r>
    </w:p>
    <w:p>
      <w:pPr>
        <w:spacing w:line="276" w:lineRule="auto" w:after="60"/>
      </w:pPr>
      <w:r>
        <w:rPr>
          <w:rFonts w:ascii="Arial" w:hAnsi="Arial"/>
          <w:color w:val="000000"/>
          <w:sz w:val="20"/>
        </w:rPr>
        <w:t>12. Siletti K, Hodge R, Mossi Albiach A, Lee KW, Ding SL, Hu L, et al. Transcriptomic diversity of cell types across the adult human brain. Science. 2023;382:eadd7046.</w:t>
      </w:r>
    </w:p>
    <w:p>
      <w:pPr>
        <w:spacing w:line="276" w:lineRule="auto" w:after="60"/>
      </w:pPr>
      <w:r>
        <w:rPr>
          <w:rFonts w:ascii="Arial" w:hAnsi="Arial"/>
          <w:color w:val="000000"/>
          <w:sz w:val="20"/>
        </w:rPr>
        <w:t>13. Hounkpe BW, Chenou F, de Lima F, De Paula EV. HRT Atlas v1.0 database: redefining human and mouse housekeeping genes and candidate reference transcripts by mining massive RNA-seq datasets. Nucleic Acids Res. 2021;49:D947-D955.</w:t>
      </w:r>
    </w:p>
    <w:p>
      <w:pPr>
        <w:spacing w:line="276" w:lineRule="auto" w:after="60"/>
      </w:pPr>
      <w:r>
        <w:rPr>
          <w:rFonts w:ascii="Arial" w:hAnsi="Arial"/>
          <w:color w:val="000000"/>
          <w:sz w:val="20"/>
        </w:rPr>
        <w:t>14. Kang HM, Subramaniam M, Targ S, Nguyen M, Maliskova L, McCarthy E, et al. Multiplexed droplet single-cell RNA-sequencing using natural genetic variation. Nat Biotechnol. 2018;36:89-94.</w:t>
      </w:r>
    </w:p>
    <w:p>
      <w:pPr>
        <w:spacing w:line="276" w:lineRule="auto" w:after="60"/>
      </w:pPr>
      <w:r>
        <w:rPr>
          <w:rFonts w:ascii="Arial" w:hAnsi="Arial"/>
          <w:color w:val="000000"/>
          <w:sz w:val="20"/>
        </w:rPr>
        <w:t>15. Edmondson HA, Steiner PE. Primary carcinoma of the liver: a study of 100 cases among 48,900 necropsies. Cancer. 1954;7:462-503.</w:t>
      </w:r>
    </w:p>
    <w:p>
      <w:pPr>
        <w:spacing w:line="276" w:lineRule="auto" w:after="60"/>
      </w:pPr>
      <w:r>
        <w:rPr>
          <w:rFonts w:ascii="Arial" w:hAnsi="Arial"/>
          <w:color w:val="000000"/>
          <w:sz w:val="20"/>
        </w:rPr>
        <w:t>16. Perou CM, Sørlie T, Eisen MB, van de Rijn M, Jeffrey SS, Rees CA, et al. Molecular portraits of human breast tumours. Nature. 2000;406:747-52.</w:t>
      </w:r>
    </w:p>
    <w:p>
      <w:pPr>
        <w:spacing w:line="276" w:lineRule="auto" w:after="60"/>
      </w:pPr>
      <w:r>
        <w:rPr>
          <w:rFonts w:ascii="Arial" w:hAnsi="Arial"/>
          <w:color w:val="000000"/>
          <w:sz w:val="20"/>
        </w:rPr>
        <w:t>17. Parker JS, Mullins M, Cheang MCU, Leung S, Voduc D, Vickery T, et al. Supervised risk predictor of breast cancer based on intrinsic subtypes. J Clin Oncol. 2009;27:1160-7.</w:t>
      </w:r>
    </w:p>
    <w:p>
      <w:pPr>
        <w:spacing w:line="276" w:lineRule="auto" w:after="60"/>
      </w:pPr>
      <w:r>
        <w:rPr>
          <w:rFonts w:ascii="Arial" w:hAnsi="Arial"/>
          <w:color w:val="000000"/>
          <w:sz w:val="20"/>
        </w:rPr>
        <w:t>18. Wälchli T, Ghobrial M, Schwab ME, Takada S, Zhong H, Suntharalingham S, et al. Single-cell atlas of the human brain vasculature across development, adulthood and disease. Nature. 2024;632:603-13.</w:t>
      </w:r>
    </w:p>
    <w:p>
      <w:pPr>
        <w:spacing w:line="276" w:lineRule="auto" w:after="60"/>
      </w:pPr>
      <w:r>
        <w:rPr>
          <w:rFonts w:ascii="Arial" w:hAnsi="Arial"/>
          <w:color w:val="000000"/>
          <w:sz w:val="20"/>
        </w:rPr>
        <w:t>19. Pfau SJ, Langen UH, Fisher TM, Prakash I, Nagpurwala F, Lozoya RA, et al. Characteristics of blood-brain barrier heterogeneity between brain regions revealed by profiling vascular and perivascular cells. Nat Neurosci. 2024;27:1892-903.</w:t>
      </w:r>
    </w:p>
    <w:p>
      <w:pPr>
        <w:spacing w:line="276" w:lineRule="auto" w:after="60"/>
      </w:pPr>
      <w:r>
        <w:rPr>
          <w:rFonts w:ascii="Arial" w:hAnsi="Arial"/>
          <w:color w:val="000000"/>
          <w:sz w:val="20"/>
        </w:rPr>
        <w:t>20. Jones HE, Coelho-Santos V, Bonney SK, Abrams SR, Shih AY, Siegenthaler JA. Meningeal origins and dynamics of perivascular fibroblast development on the mouse cerebral vasculature. Development. 2023;150:dev201805.</w:t>
      </w:r>
    </w:p>
    <w:p>
      <w:pPr>
        <w:spacing w:line="276" w:lineRule="auto" w:after="60"/>
      </w:pPr>
      <w:r>
        <w:rPr>
          <w:rFonts w:ascii="Arial" w:hAnsi="Arial"/>
          <w:color w:val="000000"/>
          <w:sz w:val="20"/>
        </w:rPr>
        <w:t>21. Tan YL, Yuan Y, Tian L. Microglial regional heterogeneity and its role in the brain. Mol Psychiatry. 2020;25:351-67.</w:t>
      </w:r>
    </w:p>
    <w:p>
      <w:pPr>
        <w:spacing w:line="276" w:lineRule="auto" w:after="60"/>
      </w:pPr>
      <w:r>
        <w:rPr>
          <w:rFonts w:ascii="Arial" w:hAnsi="Arial"/>
          <w:color w:val="000000"/>
          <w:sz w:val="20"/>
        </w:rPr>
        <w:t>22. Barry-Carroll L, Gomez-Nicola D. The molecular determinants of microglial developmental dynamics. Nat Rev Neurosci. 2024;25:414-27.</w:t>
      </w:r>
    </w:p>
    <w:p>
      <w:pPr>
        <w:spacing w:line="276" w:lineRule="auto" w:after="60"/>
      </w:pPr>
      <w:r>
        <w:rPr>
          <w:rFonts w:ascii="Arial" w:hAnsi="Arial"/>
          <w:color w:val="000000"/>
          <w:sz w:val="20"/>
        </w:rPr>
        <w:t>23. Menassa DA, Muntslag TAO, Martin-Estebané M, Barry-Carroll L, Chapman MA, Adorjan I, et al. The spatiotemporal dynamics of microglia across the human lifespan. Dev Cell. 2022;57:2127-39.e6.</w:t>
      </w:r>
    </w:p>
    <w:p>
      <w:pPr>
        <w:spacing w:line="276" w:lineRule="auto" w:after="60"/>
      </w:pPr>
      <w:r>
        <w:rPr>
          <w:rFonts w:ascii="Arial" w:hAnsi="Arial"/>
          <w:color w:val="000000"/>
          <w:sz w:val="20"/>
        </w:rPr>
        <w:t>24. Barry-Carroll L, Greulich P, Marshall AR, Riecken K, Fehse B, Askew KE, et al. Microglia colonize the developing brain by clonal expansion of highly proliferative progenitors, following allometric scaling. Cell Rep. 2023;42:112425.</w:t>
      </w:r>
    </w:p>
    <w:p>
      <w:pPr>
        <w:spacing w:line="276" w:lineRule="auto" w:after="60"/>
      </w:pPr>
      <w:r>
        <w:rPr>
          <w:rFonts w:ascii="Arial" w:hAnsi="Arial"/>
          <w:color w:val="000000"/>
          <w:sz w:val="20"/>
        </w:rPr>
        <w:t>25. Tsai HH, Niu J, Munji R, Davalos D, Chang J, Zhang H, et al. Oligodendrocyte precursors migrate along vasculature in the developing nervous system. Science. 2016;351:379-84.</w:t>
      </w:r>
    </w:p>
    <w:p>
      <w:pPr>
        <w:spacing w:line="276" w:lineRule="auto" w:after="60"/>
      </w:pPr>
      <w:r>
        <w:rPr>
          <w:rFonts w:ascii="Arial" w:hAnsi="Arial"/>
          <w:color w:val="000000"/>
          <w:sz w:val="20"/>
        </w:rPr>
        <w:t>26. Su Y, Wang X, Yang Y, Chen L, Xia W, Hoi KK, et al. Astrocyte endfoot formation controls the termination of oligodendrocyte precursor cell perivascular migration during development. Neuron. 2023;111:190-201.e8.</w:t>
      </w:r>
    </w:p>
    <w:p>
      <w:pPr>
        <w:spacing w:line="276" w:lineRule="auto" w:after="60"/>
      </w:pPr>
      <w:r>
        <w:rPr>
          <w:rFonts w:ascii="Arial" w:hAnsi="Arial"/>
          <w:color w:val="000000"/>
          <w:sz w:val="20"/>
        </w:rPr>
        <w:t>27. Foerster S, Floriddia EM, Neumann B, Agirre E, Castelo-Branco G, Franklin RJM. Developmental origin of oligodendrocytes determines their function in the adult brain. Nat Neurosci. 2024;27:1545-54.</w:t>
      </w:r>
    </w:p>
    <w:p>
      <w:pPr>
        <w:spacing w:line="276" w:lineRule="auto" w:after="60"/>
      </w:pPr>
      <w:r>
        <w:rPr>
          <w:rFonts w:ascii="Arial" w:hAnsi="Arial"/>
          <w:color w:val="000000"/>
          <w:sz w:val="20"/>
        </w:rPr>
        <w:t>28. Reeber SL, Arancillo M, Sillitoe RV. Bergmann glia are patterned into topographic molecular zones in the developing and adult mouse cerebellum. Cerebellum. 2018;17:392-403.</w:t>
      </w:r>
    </w:p>
    <w:p>
      <w:pPr>
        <w:spacing w:line="276" w:lineRule="auto" w:after="60"/>
      </w:pPr>
      <w:r>
        <w:rPr>
          <w:rFonts w:ascii="Arial" w:hAnsi="Arial"/>
          <w:color w:val="000000"/>
          <w:sz w:val="20"/>
        </w:rPr>
        <w:t>29. Yang L, Zhao Z, Li Y, Wang J, Chen X, Liu Z. Single-cell multi-omics analysis of lineage development and spatial organization in the human fetal cerebellum. Cell Discov. 2024;10:22.</w:t>
      </w:r>
    </w:p>
    <w:p>
      <w:pPr>
        <w:spacing w:line="276" w:lineRule="auto" w:after="60"/>
      </w:pPr>
      <w:r>
        <w:rPr>
          <w:rFonts w:ascii="Arial" w:hAnsi="Arial"/>
          <w:color w:val="000000"/>
          <w:sz w:val="20"/>
        </w:rPr>
        <w:t>30. Zhang Y, Li D, Cai Y, Zou R, Zhang Y, Deng X, et al. Astrocyte allocation during brain development is controlled by Tcf4-mediated fate restriction. EMBO J. 2024;43:5114-40.</w:t>
      </w:r>
    </w:p>
    <w:p>
      <w:pPr>
        <w:spacing w:line="276" w:lineRule="auto" w:after="60"/>
      </w:pPr>
      <w:r>
        <w:rPr>
          <w:rFonts w:ascii="Arial" w:hAnsi="Arial"/>
          <w:color w:val="000000"/>
          <w:sz w:val="20"/>
        </w:rPr>
        <w:t>31. Vandesompele J, De Preter K, Pattyn F, Poppe B, Van Roy N, De Paepe A, et al. Accurate normalization of real-time quantitative RT-PCR data by geometric averaging of multiple internal control genes. Genome Biol. 2002;3:RESEARCH0034.</w:t>
      </w:r>
    </w:p>
    <w:p>
      <w:pPr>
        <w:spacing w:line="276" w:lineRule="auto" w:after="60"/>
      </w:pPr>
      <w:r>
        <w:rPr>
          <w:rFonts w:ascii="Arial" w:hAnsi="Arial"/>
          <w:color w:val="000000"/>
          <w:sz w:val="20"/>
        </w:rPr>
        <w:t>32. Eisenberg E, Levanon EY. Human housekeeping genes, revisited. Trends Genet. 2013;29:569-74.</w:t>
      </w:r>
    </w:p>
    <w:p>
      <w:pPr>
        <w:spacing w:line="276" w:lineRule="auto" w:after="60"/>
      </w:pPr>
      <w:r>
        <w:rPr>
          <w:rFonts w:ascii="Arial" w:hAnsi="Arial"/>
          <w:color w:val="000000"/>
          <w:sz w:val="20"/>
        </w:rPr>
        <w:t>33. Elowitz MB, Levine AJ, Siggia ED, Swain PS. Stochastic gene expression in a single cell. Science. 2002;297:1183-6.</w:t>
      </w:r>
    </w:p>
    <w:p>
      <w:pPr>
        <w:spacing w:line="276" w:lineRule="auto" w:after="60"/>
      </w:pPr>
      <w:r>
        <w:rPr>
          <w:rFonts w:ascii="Arial" w:hAnsi="Arial"/>
          <w:color w:val="000000"/>
          <w:sz w:val="20"/>
        </w:rPr>
        <w:t>34. Newman JRS, Ghaemmaghami S, Ihmels J, Breslow DK, Noble M, DeRisi JL, et al. Single-cell proteomic analysis of S. cerevisiae reveals the architecture of biological noise. Nature. 2006;441:840-6.</w:t>
      </w:r>
    </w:p>
    <w:p>
      <w:pPr>
        <w:spacing w:line="276" w:lineRule="auto" w:after="60"/>
      </w:pPr>
      <w:r>
        <w:rPr>
          <w:rFonts w:ascii="Arial" w:hAnsi="Arial"/>
          <w:color w:val="000000"/>
          <w:sz w:val="20"/>
        </w:rPr>
        <w:t>35. Raj A, van Oudenaarden A. Nature, nurture, or chance: stochastic gene expression variation and its consequences on individual cellular fitness. Cell. 2008;135:216-26.</w:t>
      </w:r>
    </w:p>
    <w:p>
      <w:pPr>
        <w:spacing w:line="276" w:lineRule="auto" w:after="60"/>
      </w:pPr>
      <w:r>
        <w:rPr>
          <w:rFonts w:ascii="Arial" w:hAnsi="Arial"/>
          <w:color w:val="000000"/>
          <w:sz w:val="20"/>
        </w:rPr>
        <w:t>36. Tarashansky AJ, Musser JM, Khariton M, Li P, Arendt D, Quake SR, et al. Mapping single-cell atlases throughout Metazoa unravels cell type evolution. Elife. 2021;10:e66747.</w:t>
      </w:r>
    </w:p>
    <w:p>
      <w:pPr>
        <w:spacing w:line="276" w:lineRule="auto" w:after="60"/>
      </w:pPr>
      <w:r>
        <w:rPr>
          <w:rFonts w:ascii="Arial" w:hAnsi="Arial"/>
          <w:color w:val="000000"/>
          <w:sz w:val="20"/>
        </w:rPr>
        <w:t>37. Jiang J, Li J, Huang Y, Wang Y, Chen L, Zhang X. CACIMAR: cross-species analysis of cell identities, markers, regulations, and interactions. Brief Bioinform. 2024;25:bbae283.</w:t>
      </w:r>
    </w:p>
    <w:p>
      <w:pPr>
        <w:spacing w:line="276" w:lineRule="auto" w:after="60"/>
      </w:pPr>
      <w:r>
        <w:rPr>
          <w:rFonts w:ascii="Arial" w:hAnsi="Arial"/>
          <w:color w:val="000000"/>
          <w:sz w:val="20"/>
        </w:rPr>
        <w:t>38. Waxman S, Wurmbach E. De-regulation of common housekeeping genes in hepatocellular carcinoma. BMC Genomics. 2007;8:243.</w:t>
      </w:r>
    </w:p>
    <w:p>
      <w:pPr>
        <w:spacing w:line="276" w:lineRule="auto" w:after="60"/>
      </w:pPr>
      <w:r>
        <w:rPr>
          <w:rFonts w:ascii="Arial" w:hAnsi="Arial"/>
          <w:color w:val="000000"/>
          <w:sz w:val="20"/>
        </w:rPr>
        <w:t>39. Bakken TE, Jorstad NL, Hu Q, Lake BB, Tian W, Kalmbach BE, et al. Comparative cellular analysis of motor cortex in human, marmoset and mouse. Nature. 2021;598:111-9.</w:t>
      </w:r>
    </w:p>
    <w:p>
      <w:pPr>
        <w:spacing w:line="276" w:lineRule="auto" w:after="60"/>
      </w:pPr>
      <w:r>
        <w:rPr>
          <w:rFonts w:ascii="Arial" w:hAnsi="Arial"/>
          <w:color w:val="000000"/>
          <w:sz w:val="20"/>
        </w:rPr>
        <w:t>40. Marques S, Zeisel A, Codeluppi S, van Bruggen D, Mendanha Falcão A, Xiao L, et al. Oligodendrocyte heterogeneity in the mouse juvenile and adult central nervous system. Science. 2016;352:1326-9.</w:t>
      </w:r>
    </w:p>
    <w:p>
      <w:pPr>
        <w:spacing w:line="276" w:lineRule="auto" w:after="60"/>
      </w:pPr>
      <w:r>
        <w:rPr>
          <w:rFonts w:ascii="Arial" w:hAnsi="Arial"/>
          <w:color w:val="000000"/>
          <w:sz w:val="20"/>
        </w:rPr>
        <w:t>41. Spitzer SO, Sitnikov S, Kamen Y, Evans KA, Kronenberg-Versteeg D, Dietmann S, et al. Oligodendrocyte progenitor cells become regionally diverse and heterogeneous with age. Neuron. 2019;101:459-71.e5.</w:t>
      </w:r>
    </w:p>
    <w:p>
      <w:pPr>
        <w:spacing w:line="276" w:lineRule="auto" w:after="60"/>
      </w:pPr>
      <w:r>
        <w:rPr>
          <w:rFonts w:ascii="Arial" w:hAnsi="Arial"/>
          <w:color w:val="000000"/>
          <w:sz w:val="20"/>
        </w:rPr>
        <w:t>42. Luecken MD, Theis FJ. Current best practices in single-cell RNA-seq analysis: a tutorial. Mol Syst Biol. 2019;15:e8746.</w:t>
      </w:r>
    </w:p>
    <w:p>
      <w:pPr>
        <w:spacing w:line="276" w:lineRule="auto" w:after="60"/>
      </w:pPr>
      <w:r>
        <w:rPr>
          <w:rFonts w:ascii="Arial" w:hAnsi="Arial"/>
          <w:color w:val="000000"/>
          <w:sz w:val="20"/>
        </w:rPr>
        <w:t>43. Lin J. Divergence measures based on the Shannon entropy. IEEE Trans Inf Theory. 1991;37:145-51.</w:t>
      </w:r>
    </w:p>
    <w:p>
      <w:pPr>
        <w:spacing w:line="276" w:lineRule="auto" w:after="60"/>
      </w:pPr>
      <w:r>
        <w:rPr>
          <w:rFonts w:ascii="Arial" w:hAnsi="Arial"/>
          <w:color w:val="000000"/>
          <w:sz w:val="20"/>
        </w:rPr>
        <w:t>44. Benjamini Y, Hochberg Y. Controlling the false discovery rate: a practical and powerful approach to multiple testing. J R Stat Soc Series B Stat Methodol. 1995;57:289-300.</w:t>
      </w:r>
    </w:p>
    <w:p>
      <w:pPr>
        <w:spacing w:line="276" w:lineRule="auto" w:after="60"/>
      </w:pPr>
      <w:r>
        <w:rPr>
          <w:rFonts w:ascii="Arial" w:hAnsi="Arial"/>
          <w:color w:val="000000"/>
          <w:sz w:val="20"/>
        </w:rPr>
        <w:t>45. Wolf FA, Angerer P, Theis FJ. SCANPY: large-scale single-cell gene expression data analysis. Genome Biol. 2018;19:15.</w:t>
      </w:r>
    </w:p>
    <w:p>
      <w:pPr>
        <w:spacing w:line="276" w:lineRule="auto" w:after="60"/>
      </w:pPr>
      <w:r>
        <w:rPr>
          <w:rFonts w:ascii="Arial" w:hAnsi="Arial"/>
          <w:color w:val="000000"/>
          <w:sz w:val="20"/>
        </w:rPr>
        <w:t>46. Hao Y, Hao S, Andersen-Nissen E, Mauck WM 3rd, Zheng S, Butler A, et al. Integrated analysis of multimodal single-cell data. Cell. 2021;184:3573-87.</w:t>
      </w:r>
    </w:p>
    <w:p>
      <w:pPr>
        <w:spacing w:line="276" w:lineRule="auto" w:after="60"/>
      </w:pPr>
      <w:r>
        <w:rPr>
          <w:rFonts w:ascii="Arial" w:hAnsi="Arial"/>
          <w:color w:val="000000"/>
          <w:sz w:val="20"/>
        </w:rPr>
        <w:t>47. Hao Y, Stuart T, Kowalski MH, Choudhary S, Hoffman P, Hartman A, et al. Dictionary learning for integrative, multimodal and scalable single-cell analysis. Nat Biotechnol. 2024;42:293-304.</w:t>
      </w:r>
    </w:p>
    <w:p>
      <w:pPr>
        <w:spacing w:line="276" w:lineRule="auto" w:after="60"/>
      </w:pPr>
      <w:r>
        <w:rPr>
          <w:rFonts w:ascii="Arial" w:hAnsi="Arial"/>
          <w:color w:val="000000"/>
          <w:sz w:val="20"/>
        </w:rPr>
        <w:t>48. Weinstein JN, Collisson EA, Mills GB, Shaw KR, Ozenberger BA, Ellrott K, et al. The Cancer Genome Atlas Pan-Cancer analysis project. Nat Genet. 2013;45:1113-20.</w:t>
      </w:r>
    </w:p>
    <w:p>
      <w:pPr>
        <w:spacing w:line="276" w:lineRule="auto" w:after="60"/>
      </w:pPr>
      <w:r>
        <w:rPr>
          <w:rFonts w:ascii="Arial" w:hAnsi="Arial"/>
          <w:color w:val="000000"/>
          <w:sz w:val="20"/>
        </w:rPr>
        <w:t>49. Colaprico A, Silva TC, Olsen C, Garofano L, Cava C, Garolini D, et al. TCGAbiolinks: an R/Bioconductor package for integrative analysis of TCGA data. Nucleic Acids Res. 2016;44:e71.</w:t>
      </w:r>
    </w:p>
    <w:p>
      <w:pPr>
        <w:spacing w:line="276" w:lineRule="auto" w:after="60"/>
      </w:pPr>
      <w:r>
        <w:rPr>
          <w:rFonts w:ascii="Arial" w:hAnsi="Arial"/>
          <w:color w:val="000000"/>
          <w:sz w:val="20"/>
        </w:rPr>
        <w:t>50. Cerami E, Gao J, Dogrusoz U, Gross BE, Sumer SO, Aksoy BA, et al. The cBio cancer genomics portal: an open platform for exploring multidimensional cancer genomics data. Cancer Discov. 2012;2:401-4.</w:t>
      </w:r>
    </w:p>
    <w:p>
      <w:pPr>
        <w:spacing w:line="276" w:lineRule="auto" w:after="60"/>
      </w:pPr>
      <w:r>
        <w:rPr>
          <w:rFonts w:ascii="Arial" w:hAnsi="Arial"/>
          <w:color w:val="000000"/>
          <w:sz w:val="20"/>
        </w:rPr>
        <w:t>51. Waskom ML. seaborn: statistical data visualization. J Open Source Softw. 2021;6:3021.</w:t>
      </w:r>
    </w:p>
    <w:p>
      <w:pPr>
        <w:spacing w:line="276" w:lineRule="auto" w:after="60"/>
      </w:pPr>
      <w:r>
        <w:rPr>
          <w:rFonts w:ascii="Arial" w:hAnsi="Arial"/>
          <w:color w:val="000000"/>
          <w:sz w:val="20"/>
        </w:rPr>
        <w:t>52. Pedregosa F, Varoquaux G, Gramfort A, Michel V, Thirion B, Grisel O, et al. Scikit-learn: machine learning in Python. J Mach Learn Res. 2011;12:2825-30.</w:t>
      </w:r>
    </w:p>
    <w:p>
      <w:pPr>
        <w:spacing w:line="276" w:lineRule="auto" w:after="60"/>
      </w:pPr>
      <w:r>
        <w:rPr>
          <w:rFonts w:ascii="Arial" w:hAnsi="Arial"/>
          <w:color w:val="000000"/>
          <w:sz w:val="20"/>
        </w:rPr>
        <w:t>53. Efron B, Tibshirani RJ. An Introduction to the Bootstrap. New York: Chapman and Hall/CRC; 1994.</w:t>
      </w:r>
    </w:p>
    <w:p>
      <w:pPr>
        <w:spacing w:line="276" w:lineRule="auto" w:after="60"/>
      </w:pPr>
      <w:r>
        <w:rPr>
          <w:rFonts w:ascii="Arial" w:hAnsi="Arial"/>
          <w:color w:val="000000"/>
          <w:sz w:val="20"/>
        </w:rPr>
        <w:t>54. CZI Cell Science Program. CZ CELLxGENE Discover: a single-cell data platform for scalable exploration, analysis and modeling of aggregated data. Nucleic Acids Res. 2025;53:D886-D900.</w:t>
      </w:r>
    </w:p>
    <w:p>
      <w:pPr>
        <w:spacing w:line="276" w:lineRule="auto" w:after="60"/>
      </w:pPr>
      <w:r>
        <w:rPr>
          <w:rFonts w:ascii="Arial" w:hAnsi="Arial"/>
          <w:color w:val="000000"/>
          <w:sz w:val="20"/>
        </w:rPr>
        <w:t>55. Liberzon A, Birger C, Thorvaldsdóttir H, Ghandi M, Mesirov JP, Tamayo P. The Molecular Signatures Database Hallmark Gene Set Collection. Cell Syst. 2015;1:417-25.</w:t>
      </w:r>
    </w:p>
    <w:p>
      <w:pPr>
        <w:spacing w:line="276" w:lineRule="auto" w:after="60"/>
      </w:pPr>
      <w:r>
        <w:rPr>
          <w:rFonts w:ascii="Arial" w:hAnsi="Arial"/>
          <w:color w:val="000000"/>
          <w:sz w:val="20"/>
        </w:rPr>
        <w:t>56. Skinnider MA, Squair JW, Kathe C, Anderson MA, Gautier M, et al. Cell type prioritization in single-cell data. Nat Biotechnol. 2021;39:30-4.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