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1E62" w:rsidRDefault="00000000">
      <w:pPr>
        <w:jc w:val="center"/>
      </w:pPr>
      <w:r>
        <w:rPr>
          <w:rFonts w:ascii="Arial" w:hAnsi="Arial"/>
          <w:b/>
          <w:sz w:val="28"/>
        </w:rPr>
        <w:t>Tables</w:t>
      </w:r>
    </w:p>
    <w:p w:rsidR="000E1E62" w:rsidRDefault="000E1E62"/>
    <w:p w:rsidR="000E1E62" w:rsidRDefault="00000000">
      <w:r>
        <w:rPr>
          <w:rFonts w:ascii="Arial" w:hAnsi="Arial"/>
          <w:b/>
          <w:sz w:val="20"/>
        </w:rPr>
        <w:t>Table 1. Classification AUC (area under the ROC curve) of five metrics on Tabula Sapiens (99 of 102 cell-type entries analyzed; 4,851 pairs).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3E257A" w:rsidTr="001E04E2">
        <w:tc>
          <w:tcPr>
            <w:tcW w:w="4703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:rsidR="003E257A" w:rsidRPr="003E257A" w:rsidRDefault="003E257A" w:rsidP="003E257A">
            <w:pPr>
              <w:spacing w:line="276" w:lineRule="auto"/>
              <w:rPr>
                <w:rFonts w:ascii="Arial" w:hAnsi="Arial"/>
                <w:color w:val="000000"/>
              </w:rPr>
            </w:pPr>
            <w:r w:rsidRPr="003E257A">
              <w:rPr>
                <w:rFonts w:ascii="Arial" w:hAnsi="Arial"/>
                <w:color w:val="000000"/>
              </w:rPr>
              <w:t>Metric</w:t>
            </w:r>
          </w:p>
        </w:tc>
        <w:tc>
          <w:tcPr>
            <w:tcW w:w="4703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:rsidR="003E257A" w:rsidRPr="003E257A" w:rsidRDefault="003E257A" w:rsidP="003E257A">
            <w:pPr>
              <w:spacing w:line="276" w:lineRule="auto"/>
              <w:rPr>
                <w:rFonts w:ascii="Arial" w:hAnsi="Arial"/>
                <w:color w:val="000000"/>
              </w:rPr>
            </w:pPr>
            <w:r w:rsidRPr="003E257A">
              <w:rPr>
                <w:rFonts w:ascii="Arial" w:hAnsi="Arial"/>
                <w:color w:val="000000"/>
              </w:rPr>
              <w:t>ROC-AUC</w:t>
            </w:r>
          </w:p>
        </w:tc>
      </w:tr>
      <w:tr w:rsidR="003E257A" w:rsidTr="001E04E2">
        <w:tc>
          <w:tcPr>
            <w:tcW w:w="4703" w:type="dxa"/>
            <w:tcBorders>
              <w:top w:val="single" w:sz="4" w:space="0" w:color="auto"/>
              <w:bottom w:val="single" w:sz="4" w:space="0" w:color="C4BC96" w:themeColor="background2" w:themeShade="BF"/>
            </w:tcBorders>
          </w:tcPr>
          <w:p w:rsidR="003E257A" w:rsidRPr="003E257A" w:rsidRDefault="003E257A" w:rsidP="003E257A">
            <w:pPr>
              <w:spacing w:line="276" w:lineRule="auto"/>
              <w:rPr>
                <w:rFonts w:ascii="Arial" w:hAnsi="Arial"/>
                <w:color w:val="000000"/>
              </w:rPr>
            </w:pPr>
            <w:r w:rsidRPr="003E257A">
              <w:rPr>
                <w:rFonts w:ascii="Arial" w:hAnsi="Arial"/>
                <w:color w:val="000000"/>
              </w:rPr>
              <w:t>Cosine distance</w:t>
            </w:r>
          </w:p>
        </w:tc>
        <w:tc>
          <w:tcPr>
            <w:tcW w:w="4703" w:type="dxa"/>
            <w:tcBorders>
              <w:top w:val="single" w:sz="4" w:space="0" w:color="auto"/>
              <w:bottom w:val="single" w:sz="4" w:space="0" w:color="C4BC96" w:themeColor="background2" w:themeShade="BF"/>
            </w:tcBorders>
          </w:tcPr>
          <w:p w:rsidR="003E257A" w:rsidRPr="003E257A" w:rsidRDefault="003E257A" w:rsidP="003E257A">
            <w:pPr>
              <w:spacing w:line="276" w:lineRule="auto"/>
              <w:rPr>
                <w:rFonts w:ascii="Arial" w:hAnsi="Arial"/>
                <w:color w:val="000000"/>
              </w:rPr>
            </w:pPr>
            <w:r w:rsidRPr="003E257A">
              <w:rPr>
                <w:rFonts w:ascii="Arial" w:hAnsi="Arial"/>
                <w:color w:val="000000"/>
              </w:rPr>
              <w:t>0.887</w:t>
            </w:r>
          </w:p>
        </w:tc>
      </w:tr>
      <w:tr w:rsidR="003E257A" w:rsidTr="001E04E2">
        <w:tc>
          <w:tcPr>
            <w:tcW w:w="4703" w:type="dxa"/>
            <w:tcBorders>
              <w:top w:val="single" w:sz="4" w:space="0" w:color="C4BC96" w:themeColor="background2" w:themeShade="BF"/>
              <w:bottom w:val="single" w:sz="4" w:space="0" w:color="C4BC96" w:themeColor="background2" w:themeShade="BF"/>
            </w:tcBorders>
          </w:tcPr>
          <w:p w:rsidR="003E257A" w:rsidRPr="003E257A" w:rsidRDefault="003E257A" w:rsidP="003E257A">
            <w:pPr>
              <w:spacing w:line="276" w:lineRule="auto"/>
              <w:rPr>
                <w:rFonts w:ascii="Arial" w:hAnsi="Arial"/>
                <w:color w:val="000000"/>
              </w:rPr>
            </w:pPr>
            <w:r w:rsidRPr="003E257A">
              <w:rPr>
                <w:rFonts w:ascii="Arial" w:hAnsi="Arial"/>
                <w:color w:val="000000"/>
              </w:rPr>
              <w:t>Raw JS divergence</w:t>
            </w:r>
          </w:p>
        </w:tc>
        <w:tc>
          <w:tcPr>
            <w:tcW w:w="4703" w:type="dxa"/>
            <w:tcBorders>
              <w:top w:val="single" w:sz="4" w:space="0" w:color="C4BC96" w:themeColor="background2" w:themeShade="BF"/>
              <w:bottom w:val="single" w:sz="4" w:space="0" w:color="C4BC96" w:themeColor="background2" w:themeShade="BF"/>
            </w:tcBorders>
          </w:tcPr>
          <w:p w:rsidR="003E257A" w:rsidRPr="003E257A" w:rsidRDefault="003E257A" w:rsidP="003E257A">
            <w:pPr>
              <w:spacing w:line="276" w:lineRule="auto"/>
              <w:rPr>
                <w:rFonts w:ascii="Arial" w:hAnsi="Arial"/>
                <w:color w:val="000000"/>
              </w:rPr>
            </w:pPr>
            <w:r w:rsidRPr="003E257A">
              <w:rPr>
                <w:rFonts w:ascii="Arial" w:hAnsi="Arial"/>
                <w:color w:val="000000"/>
              </w:rPr>
              <w:t>0.849</w:t>
            </w:r>
          </w:p>
        </w:tc>
      </w:tr>
      <w:tr w:rsidR="003E257A" w:rsidTr="001E04E2">
        <w:tc>
          <w:tcPr>
            <w:tcW w:w="4703" w:type="dxa"/>
            <w:tcBorders>
              <w:top w:val="single" w:sz="4" w:space="0" w:color="C4BC96" w:themeColor="background2" w:themeShade="BF"/>
              <w:bottom w:val="single" w:sz="4" w:space="0" w:color="C4BC96" w:themeColor="background2" w:themeShade="BF"/>
            </w:tcBorders>
          </w:tcPr>
          <w:p w:rsidR="003E257A" w:rsidRPr="003E257A" w:rsidRDefault="003E257A" w:rsidP="003E257A">
            <w:pPr>
              <w:spacing w:line="276" w:lineRule="auto"/>
              <w:rPr>
                <w:rFonts w:ascii="Arial" w:hAnsi="Arial"/>
                <w:color w:val="000000"/>
              </w:rPr>
            </w:pPr>
            <w:r w:rsidRPr="003E257A">
              <w:rPr>
                <w:rFonts w:ascii="Arial" w:hAnsi="Arial"/>
                <w:color w:val="000000"/>
              </w:rPr>
              <w:t>Marker Jaccard distance</w:t>
            </w:r>
          </w:p>
        </w:tc>
        <w:tc>
          <w:tcPr>
            <w:tcW w:w="4703" w:type="dxa"/>
            <w:tcBorders>
              <w:top w:val="single" w:sz="4" w:space="0" w:color="C4BC96" w:themeColor="background2" w:themeShade="BF"/>
              <w:bottom w:val="single" w:sz="4" w:space="0" w:color="C4BC96" w:themeColor="background2" w:themeShade="BF"/>
            </w:tcBorders>
          </w:tcPr>
          <w:p w:rsidR="003E257A" w:rsidRPr="003E257A" w:rsidRDefault="003E257A" w:rsidP="003E257A">
            <w:pPr>
              <w:spacing w:line="276" w:lineRule="auto"/>
              <w:rPr>
                <w:rFonts w:ascii="Arial" w:hAnsi="Arial"/>
                <w:color w:val="000000"/>
              </w:rPr>
            </w:pPr>
            <w:r w:rsidRPr="003E257A">
              <w:rPr>
                <w:rFonts w:ascii="Arial" w:hAnsi="Arial"/>
                <w:color w:val="000000"/>
              </w:rPr>
              <w:t>0.801</w:t>
            </w:r>
          </w:p>
        </w:tc>
      </w:tr>
      <w:tr w:rsidR="003E257A" w:rsidTr="001E04E2">
        <w:tc>
          <w:tcPr>
            <w:tcW w:w="4703" w:type="dxa"/>
            <w:tcBorders>
              <w:top w:val="single" w:sz="4" w:space="0" w:color="C4BC96" w:themeColor="background2" w:themeShade="BF"/>
              <w:bottom w:val="single" w:sz="4" w:space="0" w:color="C4BC96" w:themeColor="background2" w:themeShade="BF"/>
            </w:tcBorders>
          </w:tcPr>
          <w:p w:rsidR="003E257A" w:rsidRPr="003E257A" w:rsidRDefault="003E257A" w:rsidP="003E257A">
            <w:pPr>
              <w:spacing w:line="276" w:lineRule="auto"/>
              <w:rPr>
                <w:rFonts w:ascii="Arial" w:hAnsi="Arial"/>
                <w:color w:val="000000"/>
              </w:rPr>
            </w:pPr>
            <w:r w:rsidRPr="003E257A">
              <w:rPr>
                <w:rFonts w:ascii="Arial" w:hAnsi="Arial"/>
                <w:color w:val="000000"/>
              </w:rPr>
              <w:t>Spearman distance</w:t>
            </w:r>
          </w:p>
        </w:tc>
        <w:tc>
          <w:tcPr>
            <w:tcW w:w="4703" w:type="dxa"/>
            <w:tcBorders>
              <w:top w:val="single" w:sz="4" w:space="0" w:color="C4BC96" w:themeColor="background2" w:themeShade="BF"/>
              <w:bottom w:val="single" w:sz="4" w:space="0" w:color="C4BC96" w:themeColor="background2" w:themeShade="BF"/>
            </w:tcBorders>
          </w:tcPr>
          <w:p w:rsidR="003E257A" w:rsidRPr="003E257A" w:rsidRDefault="003E257A" w:rsidP="003E257A">
            <w:pPr>
              <w:spacing w:line="276" w:lineRule="auto"/>
              <w:rPr>
                <w:rFonts w:ascii="Arial" w:hAnsi="Arial"/>
                <w:color w:val="000000"/>
              </w:rPr>
            </w:pPr>
            <w:r w:rsidRPr="003E257A">
              <w:rPr>
                <w:rFonts w:ascii="Arial" w:hAnsi="Arial"/>
                <w:color w:val="000000"/>
              </w:rPr>
              <w:t>0.690</w:t>
            </w:r>
          </w:p>
        </w:tc>
      </w:tr>
      <w:tr w:rsidR="003E257A" w:rsidTr="001E04E2">
        <w:tc>
          <w:tcPr>
            <w:tcW w:w="4703" w:type="dxa"/>
            <w:tcBorders>
              <w:top w:val="single" w:sz="4" w:space="0" w:color="C4BC96" w:themeColor="background2" w:themeShade="BF"/>
              <w:bottom w:val="single" w:sz="4" w:space="0" w:color="auto"/>
            </w:tcBorders>
          </w:tcPr>
          <w:p w:rsidR="003E257A" w:rsidRPr="003E257A" w:rsidRDefault="003E257A" w:rsidP="003E257A">
            <w:pPr>
              <w:spacing w:line="276" w:lineRule="auto"/>
              <w:rPr>
                <w:rFonts w:ascii="Arial" w:hAnsi="Arial"/>
                <w:color w:val="000000"/>
              </w:rPr>
            </w:pPr>
            <w:r w:rsidRPr="003E257A">
              <w:rPr>
                <w:rFonts w:ascii="Arial" w:hAnsi="Arial"/>
                <w:color w:val="000000"/>
              </w:rPr>
              <w:t>CKI ω</w:t>
            </w:r>
          </w:p>
        </w:tc>
        <w:tc>
          <w:tcPr>
            <w:tcW w:w="4703" w:type="dxa"/>
            <w:tcBorders>
              <w:top w:val="single" w:sz="4" w:space="0" w:color="C4BC96" w:themeColor="background2" w:themeShade="BF"/>
              <w:bottom w:val="single" w:sz="4" w:space="0" w:color="auto"/>
            </w:tcBorders>
          </w:tcPr>
          <w:p w:rsidR="003E257A" w:rsidRPr="003E257A" w:rsidRDefault="003E257A" w:rsidP="003E257A">
            <w:pPr>
              <w:spacing w:line="276" w:lineRule="auto"/>
              <w:rPr>
                <w:rFonts w:ascii="Arial" w:hAnsi="Arial"/>
                <w:color w:val="000000"/>
              </w:rPr>
            </w:pPr>
            <w:r w:rsidRPr="003E257A">
              <w:rPr>
                <w:rFonts w:ascii="Arial" w:hAnsi="Arial"/>
                <w:color w:val="000000"/>
              </w:rPr>
              <w:t>0.680</w:t>
            </w:r>
          </w:p>
        </w:tc>
      </w:tr>
    </w:tbl>
    <w:p w:rsidR="003E257A" w:rsidRDefault="003E257A"/>
    <w:p w:rsidR="000E1E62" w:rsidRDefault="00000000">
      <w:r>
        <w:rPr>
          <w:rFonts w:ascii="Arial" w:hAnsi="Arial"/>
          <w:b/>
          <w:sz w:val="20"/>
        </w:rPr>
        <w:t>Table 2. Cross-organ conservation ranking by cell type (Tabula Sapiens, n=59 same-cell-type cross-organ pairs). Well-sampled cell types (n ≥ 5 cross-organ pairs) are ranked first by mean ω; sparsely sampled cell types (n &lt; 5 pairs; SD shown only where n &gt; 1) are listed below the divider, and their rankings should be interpreted as suggestive only. k_f-only controls for this ranking are reported in Additional file 1: Note 3.16.</w:t>
      </w:r>
    </w:p>
    <w:tbl>
      <w:tblPr>
        <w:tblStyle w:val="TableGrid"/>
        <w:tblW w:w="0" w:type="auto"/>
        <w:tblBorders>
          <w:left w:val="single" w:sz="4" w:space="0" w:color="C4BC96" w:themeColor="background2" w:themeShade="BF"/>
          <w:right w:val="single" w:sz="4" w:space="0" w:color="C4BC96" w:themeColor="background2" w:themeShade="BF"/>
        </w:tblBorders>
        <w:tblLook w:val="04A0" w:firstRow="1" w:lastRow="0" w:firstColumn="1" w:lastColumn="0" w:noHBand="0" w:noVBand="1"/>
      </w:tblPr>
      <w:tblGrid>
        <w:gridCol w:w="2694"/>
        <w:gridCol w:w="1990"/>
        <w:gridCol w:w="2338"/>
        <w:gridCol w:w="2338"/>
      </w:tblGrid>
      <w:tr w:rsidR="00916F8A" w:rsidTr="001E04E2">
        <w:tc>
          <w:tcPr>
            <w:tcW w:w="2694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  <w:shd w:val="clear" w:color="auto" w:fill="DBE5F1" w:themeFill="accent1" w:themeFillTint="33"/>
          </w:tcPr>
          <w:p w:rsidR="00916F8A" w:rsidRDefault="00916F8A" w:rsidP="00916F8A">
            <w:r>
              <w:rPr>
                <w:rFonts w:ascii="Arial" w:hAnsi="Arial"/>
                <w:sz w:val="20"/>
              </w:rPr>
              <w:t>Cell type</w:t>
            </w:r>
          </w:p>
        </w:tc>
        <w:tc>
          <w:tcPr>
            <w:tcW w:w="1990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  <w:shd w:val="clear" w:color="auto" w:fill="DBE5F1" w:themeFill="accent1" w:themeFillTint="33"/>
          </w:tcPr>
          <w:p w:rsidR="00916F8A" w:rsidRDefault="00916F8A" w:rsidP="00916F8A">
            <w:r>
              <w:rPr>
                <w:rFonts w:ascii="Arial" w:hAnsi="Arial"/>
                <w:sz w:val="20"/>
              </w:rPr>
              <w:t>Mean ω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  <w:shd w:val="clear" w:color="auto" w:fill="DBE5F1" w:themeFill="accent1" w:themeFillTint="33"/>
          </w:tcPr>
          <w:p w:rsidR="00916F8A" w:rsidRDefault="00916F8A" w:rsidP="00916F8A">
            <w:r>
              <w:rPr>
                <w:rFonts w:ascii="Arial" w:hAnsi="Arial"/>
                <w:sz w:val="20"/>
              </w:rPr>
              <w:t>SD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  <w:shd w:val="clear" w:color="auto" w:fill="DBE5F1" w:themeFill="accent1" w:themeFillTint="33"/>
          </w:tcPr>
          <w:p w:rsidR="00916F8A" w:rsidRDefault="00916F8A" w:rsidP="00916F8A">
            <w:r>
              <w:rPr>
                <w:rFonts w:ascii="Arial" w:hAnsi="Arial"/>
                <w:sz w:val="20"/>
              </w:rPr>
              <w:t>n pairs</w:t>
            </w:r>
          </w:p>
        </w:tc>
      </w:tr>
      <w:tr w:rsidR="00916F8A" w:rsidTr="001E04E2">
        <w:tc>
          <w:tcPr>
            <w:tcW w:w="2694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CD8+ T cell</w:t>
            </w:r>
          </w:p>
        </w:tc>
        <w:tc>
          <w:tcPr>
            <w:tcW w:w="1990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9.93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4.62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6</w:t>
            </w:r>
          </w:p>
        </w:tc>
      </w:tr>
      <w:tr w:rsidR="00916F8A" w:rsidTr="001E04E2">
        <w:tc>
          <w:tcPr>
            <w:tcW w:w="2694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Plasma cell</w:t>
            </w:r>
          </w:p>
        </w:tc>
        <w:tc>
          <w:tcPr>
            <w:tcW w:w="1990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10.20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2.03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6</w:t>
            </w:r>
          </w:p>
        </w:tc>
      </w:tr>
      <w:tr w:rsidR="00916F8A" w:rsidTr="001E04E2">
        <w:tc>
          <w:tcPr>
            <w:tcW w:w="2694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Neutrophil</w:t>
            </w:r>
          </w:p>
        </w:tc>
        <w:tc>
          <w:tcPr>
            <w:tcW w:w="1990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14.22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8.49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6</w:t>
            </w:r>
          </w:p>
        </w:tc>
      </w:tr>
      <w:tr w:rsidR="00916F8A" w:rsidTr="001E04E2">
        <w:tc>
          <w:tcPr>
            <w:tcW w:w="2694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Macrophage</w:t>
            </w:r>
          </w:p>
        </w:tc>
        <w:tc>
          <w:tcPr>
            <w:tcW w:w="1990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15.49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8.46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15</w:t>
            </w:r>
          </w:p>
        </w:tc>
      </w:tr>
      <w:tr w:rsidR="00916F8A" w:rsidTr="001E04E2">
        <w:tc>
          <w:tcPr>
            <w:tcW w:w="2694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NK cell</w:t>
            </w:r>
          </w:p>
        </w:tc>
        <w:tc>
          <w:tcPr>
            <w:tcW w:w="1990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17.28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3.14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10</w:t>
            </w:r>
          </w:p>
        </w:tc>
      </w:tr>
      <w:tr w:rsidR="00916F8A" w:rsidTr="005968C8">
        <w:tc>
          <w:tcPr>
            <w:tcW w:w="9360" w:type="dxa"/>
            <w:gridSpan w:val="4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pPr>
              <w:jc w:val="center"/>
            </w:pPr>
            <w:r>
              <w:rPr>
                <w:rFonts w:ascii="Arial" w:hAnsi="Arial"/>
                <w:sz w:val="20"/>
              </w:rPr>
              <w:t>— Sparsely sampled (n &lt; 5 pairs): interpret with caution —</w:t>
            </w:r>
          </w:p>
        </w:tc>
      </w:tr>
      <w:tr w:rsidR="00916F8A" w:rsidTr="001E04E2">
        <w:tc>
          <w:tcPr>
            <w:tcW w:w="2694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Hepatocyte</w:t>
            </w:r>
          </w:p>
        </w:tc>
        <w:tc>
          <w:tcPr>
            <w:tcW w:w="1990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8.57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1</w:t>
            </w:r>
          </w:p>
        </w:tc>
      </w:tr>
      <w:tr w:rsidR="00916F8A" w:rsidTr="001E04E2">
        <w:tc>
          <w:tcPr>
            <w:tcW w:w="2694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B cell</w:t>
            </w:r>
          </w:p>
        </w:tc>
        <w:tc>
          <w:tcPr>
            <w:tcW w:w="1990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9.36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1</w:t>
            </w:r>
          </w:p>
        </w:tc>
      </w:tr>
      <w:tr w:rsidR="00916F8A" w:rsidTr="001E04E2">
        <w:tc>
          <w:tcPr>
            <w:tcW w:w="2694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Hematopoietic stem cell</w:t>
            </w:r>
          </w:p>
        </w:tc>
        <w:tc>
          <w:tcPr>
            <w:tcW w:w="1990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11.12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1</w:t>
            </w:r>
          </w:p>
        </w:tc>
      </w:tr>
      <w:tr w:rsidR="00916F8A" w:rsidTr="001E04E2">
        <w:tc>
          <w:tcPr>
            <w:tcW w:w="2694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Smooth muscle cell</w:t>
            </w:r>
          </w:p>
        </w:tc>
        <w:tc>
          <w:tcPr>
            <w:tcW w:w="1990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12.22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1</w:t>
            </w:r>
          </w:p>
        </w:tc>
      </w:tr>
      <w:tr w:rsidR="00916F8A" w:rsidTr="001E04E2">
        <w:tc>
          <w:tcPr>
            <w:tcW w:w="2694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Monocyte</w:t>
            </w:r>
          </w:p>
        </w:tc>
        <w:tc>
          <w:tcPr>
            <w:tcW w:w="1990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15.19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1</w:t>
            </w:r>
          </w:p>
        </w:tc>
      </w:tr>
      <w:tr w:rsidR="00916F8A" w:rsidTr="001E04E2">
        <w:tc>
          <w:tcPr>
            <w:tcW w:w="2694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CD4+ T cell</w:t>
            </w:r>
          </w:p>
        </w:tc>
        <w:tc>
          <w:tcPr>
            <w:tcW w:w="1990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16.71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1</w:t>
            </w:r>
          </w:p>
        </w:tc>
      </w:tr>
      <w:tr w:rsidR="00916F8A" w:rsidTr="001E04E2">
        <w:tc>
          <w:tcPr>
            <w:tcW w:w="2694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Classical monocyte</w:t>
            </w:r>
          </w:p>
        </w:tc>
        <w:tc>
          <w:tcPr>
            <w:tcW w:w="1990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17.50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1</w:t>
            </w:r>
          </w:p>
        </w:tc>
      </w:tr>
      <w:tr w:rsidR="00916F8A" w:rsidTr="001E04E2">
        <w:tc>
          <w:tcPr>
            <w:tcW w:w="2694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Naive B cell</w:t>
            </w:r>
          </w:p>
        </w:tc>
        <w:tc>
          <w:tcPr>
            <w:tcW w:w="1990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21.06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1</w:t>
            </w:r>
          </w:p>
        </w:tc>
      </w:tr>
      <w:tr w:rsidR="00916F8A" w:rsidTr="001E04E2">
        <w:tc>
          <w:tcPr>
            <w:tcW w:w="2694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Intermediate monocyte</w:t>
            </w:r>
          </w:p>
        </w:tc>
        <w:tc>
          <w:tcPr>
            <w:tcW w:w="1990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21.78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1</w:t>
            </w:r>
          </w:p>
        </w:tc>
      </w:tr>
      <w:tr w:rsidR="00916F8A" w:rsidTr="001E04E2">
        <w:tc>
          <w:tcPr>
            <w:tcW w:w="2694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Memory B cell</w:t>
            </w:r>
          </w:p>
        </w:tc>
        <w:tc>
          <w:tcPr>
            <w:tcW w:w="1990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22.36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1</w:t>
            </w:r>
          </w:p>
        </w:tc>
      </w:tr>
      <w:tr w:rsidR="00916F8A" w:rsidTr="001E04E2">
        <w:tc>
          <w:tcPr>
            <w:tcW w:w="2694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Endothelial cell</w:t>
            </w:r>
          </w:p>
        </w:tc>
        <w:tc>
          <w:tcPr>
            <w:tcW w:w="1990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26.25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8.59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3</w:t>
            </w:r>
          </w:p>
        </w:tc>
      </w:tr>
      <w:tr w:rsidR="00916F8A" w:rsidTr="001E04E2">
        <w:tc>
          <w:tcPr>
            <w:tcW w:w="2694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Erythrocyte</w:t>
            </w:r>
          </w:p>
        </w:tc>
        <w:tc>
          <w:tcPr>
            <w:tcW w:w="1990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29.36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23.07</w:t>
            </w:r>
          </w:p>
        </w:tc>
        <w:tc>
          <w:tcPr>
            <w:tcW w:w="2338" w:type="dxa"/>
            <w:tcBorders>
              <w:top w:val="single" w:sz="4" w:space="0" w:color="C4BC96" w:themeColor="background2" w:themeShade="BF"/>
              <w:left w:val="nil"/>
              <w:bottom w:val="single" w:sz="4" w:space="0" w:color="C4BC96" w:themeColor="background2" w:themeShade="BF"/>
              <w:right w:val="nil"/>
            </w:tcBorders>
          </w:tcPr>
          <w:p w:rsidR="00916F8A" w:rsidRDefault="00916F8A" w:rsidP="00916F8A">
            <w:r>
              <w:rPr>
                <w:rFonts w:ascii="Arial" w:hAnsi="Arial"/>
                <w:sz w:val="20"/>
              </w:rPr>
              <w:t>3</w:t>
            </w:r>
          </w:p>
        </w:tc>
      </w:tr>
    </w:tbl>
    <w:p w:rsidR="00104614" w:rsidRDefault="00104614"/>
    <w:sectPr w:rsidR="00104614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8425034">
    <w:abstractNumId w:val="8"/>
  </w:num>
  <w:num w:numId="2" w16cid:durableId="1195120253">
    <w:abstractNumId w:val="6"/>
  </w:num>
  <w:num w:numId="3" w16cid:durableId="340085766">
    <w:abstractNumId w:val="5"/>
  </w:num>
  <w:num w:numId="4" w16cid:durableId="2009013883">
    <w:abstractNumId w:val="4"/>
  </w:num>
  <w:num w:numId="5" w16cid:durableId="2081172127">
    <w:abstractNumId w:val="7"/>
  </w:num>
  <w:num w:numId="6" w16cid:durableId="2040623220">
    <w:abstractNumId w:val="3"/>
  </w:num>
  <w:num w:numId="7" w16cid:durableId="146483510">
    <w:abstractNumId w:val="2"/>
  </w:num>
  <w:num w:numId="8" w16cid:durableId="1866164402">
    <w:abstractNumId w:val="1"/>
  </w:num>
  <w:num w:numId="9" w16cid:durableId="1866094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E62"/>
    <w:rsid w:val="00104614"/>
    <w:rsid w:val="0015074B"/>
    <w:rsid w:val="0029639D"/>
    <w:rsid w:val="00326F90"/>
    <w:rsid w:val="003E257A"/>
    <w:rsid w:val="006C7B86"/>
    <w:rsid w:val="00916F8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DFF098"/>
  <w14:defaultImageDpi w14:val="300"/>
  <w15:docId w15:val="{D0D02AAC-B662-9048-B125-5E989A9A8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5</cp:revision>
  <dcterms:created xsi:type="dcterms:W3CDTF">2013-12-23T23:15:00Z</dcterms:created>
  <dcterms:modified xsi:type="dcterms:W3CDTF">2026-09-11T01:47:00Z</dcterms:modified>
  <cp:category/>
</cp:coreProperties>
</file>