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right"/>
      </w:pPr>
      <w:r>
        <w:t>Li Zhang</w:t>
      </w:r>
    </w:p>
    <w:p>
      <w:pPr>
        <w:spacing w:line="480" w:lineRule="auto" w:after="0"/>
        <w:jc w:val="right"/>
      </w:pPr>
      <w:r>
        <w:t>Chinese Academy of Medical Sciences &amp; Peking Union Medical College</w:t>
      </w:r>
    </w:p>
    <w:p>
      <w:pPr>
        <w:spacing w:line="480" w:lineRule="auto" w:after="0"/>
        <w:jc w:val="right"/>
      </w:pPr>
      <w:r>
        <w:t>Institute of Blood Transfusion</w:t>
      </w:r>
    </w:p>
    <w:p>
      <w:pPr>
        <w:spacing w:line="480" w:lineRule="auto" w:after="0"/>
        <w:jc w:val="right"/>
      </w:pPr>
      <w:r>
        <w:t>Chengdu, China</w:t>
      </w:r>
    </w:p>
    <w:p>
      <w:pPr>
        <w:spacing w:line="480" w:lineRule="auto" w:after="0"/>
      </w:pPr>
    </w:p>
    <w:p>
      <w:pPr>
        <w:spacing w:line="480" w:lineRule="auto" w:after="0"/>
        <w:jc w:val="right"/>
      </w:pPr>
      <w:r>
        <w:t>Chinese Institute for Brain Research, Beijing</w:t>
      </w:r>
    </w:p>
    <w:p>
      <w:pPr>
        <w:spacing w:line="480" w:lineRule="auto" w:after="0"/>
        <w:jc w:val="right"/>
      </w:pPr>
      <w:r>
        <w:t>Beijing, China</w:t>
      </w:r>
    </w:p>
    <w:p>
      <w:pPr>
        <w:spacing w:line="480" w:lineRule="auto" w:after="0"/>
      </w:pPr>
    </w:p>
    <w:p>
      <w:pPr>
        <w:spacing w:line="480" w:lineRule="auto" w:after="0"/>
        <w:jc w:val="right"/>
      </w:pPr>
      <w:r>
        <w:t>Email: knightz@pumc.edu.cn</w:t>
      </w:r>
    </w:p>
    <w:p>
      <w:pPr>
        <w:spacing w:line="480" w:lineRule="auto" w:after="0"/>
      </w:pPr>
    </w:p>
    <w:p>
      <w:pPr>
        <w:spacing w:line="480" w:lineRule="auto" w:after="0"/>
      </w:pPr>
      <w:r>
        <w:t>July 06, 2026</w:t>
      </w:r>
    </w:p>
    <w:p>
      <w:pPr>
        <w:spacing w:line="480" w:lineRule="auto" w:after="0"/>
      </w:pPr>
    </w:p>
    <w:p>
      <w:pPr>
        <w:spacing w:line="480" w:lineRule="auto" w:after="0"/>
      </w:pPr>
      <w:r>
        <w:t>The Editor-in-Chief</w:t>
      </w:r>
    </w:p>
    <w:p>
      <w:pPr>
        <w:spacing w:line="480" w:lineRule="auto" w:after="0"/>
      </w:pPr>
      <w:r>
        <w:t>Genome Biology</w:t>
      </w:r>
    </w:p>
    <w:p>
      <w:pPr>
        <w:spacing w:line="480" w:lineRule="auto" w:after="0"/>
      </w:pPr>
      <w:r>
        <w:t>BioMed Central / Springer Nature</w:t>
      </w:r>
    </w:p>
    <w:p>
      <w:pPr>
        <w:spacing w:line="480" w:lineRule="auto" w:after="0"/>
      </w:pPr>
    </w:p>
    <w:p>
      <w:pPr>
        <w:spacing w:line="480" w:lineRule="auto" w:after="0"/>
      </w:pPr>
      <w:r>
        <w:t>Re: Submission of Original Research Article</w:t>
      </w:r>
    </w:p>
    <w:p>
      <w:pPr>
        <w:spacing w:line="480" w:lineRule="auto" w:after="0"/>
      </w:pPr>
    </w:p>
    <w:p>
      <w:pPr>
        <w:spacing w:line="480" w:lineRule="auto" w:after="0"/>
        <w:jc w:val="center"/>
      </w:pPr>
      <w:r>
        <w:rPr>
          <w:b/>
          <w:sz w:val="26"/>
        </w:rPr>
        <w:t>CKI: A Cell-state Kinetic Index for Quantifying Selective Transcriptomic Remodeling</w:t>
      </w:r>
    </w:p>
    <w:p>
      <w:pPr>
        <w:spacing w:line="480" w:lineRule="auto" w:after="0"/>
      </w:pPr>
    </w:p>
    <w:p>
      <w:pPr>
        <w:spacing w:line="480" w:lineRule="auto" w:after="0"/>
      </w:pPr>
      <w:r>
        <w:t>Dear Editor,</w:t>
      </w:r>
    </w:p>
    <w:p>
      <w:pPr>
        <w:spacing w:line="480" w:lineRule="auto" w:after="0"/>
      </w:pPr>
      <w:r>
        <w:t>On behalf of my co-author, Dr. Xianming Wu (Chinese Institute for Brain Research, Beijing), I am pleased to submit our original research article, “CKI: A Cell-state Kinetic Index for Quantifying Selective Transcriptomic Remodeling”, for consideration as a Research Article in Genome Biology.</w:t>
      </w:r>
    </w:p>
    <w:p>
      <w:pPr>
        <w:spacing w:line="480" w:lineRule="auto" w:after="0"/>
      </w:pPr>
      <w:r>
        <w:t>Cell identity is fundamentally defined by its transcriptome. However, a standardized, assumption-free metric to quantify transcriptomic divergence between cell states has been lacking. Drawing inspiration from evolutionary biology’s Ka/Ks ratio, we propose CKI (Cell-state Kinetic Index), which decomposes Jensen–Shannon divergence into two orthogonal components: k_n (neutral offset rate, from housekeeping gene expression) and k_f (functional conversion rate, from identity gene expression). The ratio ω = k_f/k_n provides a robust, interpretable measure of selective transcriptomic remodeling.</w:t>
      </w:r>
    </w:p>
    <w:p>
      <w:pPr>
        <w:spacing w:line="480" w:lineRule="auto" w:after="0"/>
      </w:pPr>
      <w:r>
        <w:t>We validated CKI ω across three dimensions: (1) orthogonal information—CKI ω captures an independent information dimension, showing negative correlation with all four standard distance metrics (Spearman r = −0.36 to −0.46, all P &lt; 0.001), proving it measures something fundamentally different from Cosine similarity, JS divergence, and other existing approaches; (2) cross-species consistency—mouse orthologs show strong correlation with human CKI ω, confirming evolutionary consistency; and (3) two biological applications—pan-cancer analysis revealing that tumors are more transcriptionally homogeneous than normal tissues (median NN/TT ratio 1.40–2.83), and brain regional analysis identifying 30 cell-type-specific migration candidates among 31,764 cross-region comparisons through a multiplicative residual model.</w:t>
      </w:r>
    </w:p>
    <w:p>
      <w:pPr>
        <w:spacing w:line="480" w:lineRule="auto" w:after="0"/>
      </w:pPr>
      <w:r>
        <w:t>Genome Biology is our first choice because this work sits at the intersection of genomics, transcriptomics, and computational biology—the exact scope of the journal. The proposed ω metric provides the community with a new genomic toolkit for comparing cell states, with direct applications in development, cancer, and neuroscience. We believe the readership of Genome Biology will find both the method and its biological insights of significant interest.</w:t>
      </w:r>
    </w:p>
    <w:p>
      <w:pPr>
        <w:spacing w:line="480" w:lineRule="auto" w:after="0"/>
      </w:pPr>
      <w:r>
        <w:t>Dr. Xianming Wu (first author) and I (corresponding author) have approved the manuscript and declare no competing interests. This work has not been published elsewhere and is not under consideration by any other journal. All data and code are publicly available (see Data Availability Statement in the manuscript).</w:t>
      </w:r>
    </w:p>
    <w:p>
      <w:pPr>
        <w:spacing w:line="480" w:lineRule="auto" w:after="0"/>
      </w:pPr>
      <w:r>
        <w:t>I suggest the following potential reviewers:</w:t>
        <w:br/>
        <w:t>1. Prof. Sarah A. Teichmann (Wellcome Sanger Institute, st9@sanger.ac.uk)</w:t>
        <w:br/>
        <w:t>2. Prof. Peter V. Kharchenko (Harvard Medical School, peter_kharchenko@hms.harvard.edu)</w:t>
        <w:br/>
        <w:t>3. Prof. Cole Trapnell (University of Washington, coletrap@uw.edu)</w:t>
      </w:r>
    </w:p>
    <w:p>
      <w:pPr>
        <w:spacing w:line="480" w:lineRule="auto" w:after="0"/>
      </w:pPr>
      <w:r>
        <w:t>Thank you for considering our work for publication in Genome Biology. We look forward to hearing from you.</w:t>
      </w:r>
    </w:p>
    <w:p>
      <w:pPr>
        <w:spacing w:line="480" w:lineRule="auto" w:after="0"/>
      </w:pPr>
    </w:p>
    <w:p>
      <w:pPr>
        <w:spacing w:line="480" w:lineRule="auto" w:after="0"/>
      </w:pPr>
      <w:r>
        <w:t>Sincerely,</w:t>
      </w:r>
    </w:p>
    <w:p>
      <w:pPr>
        <w:spacing w:line="480" w:lineRule="auto" w:after="0"/>
      </w:pPr>
    </w:p>
    <w:p>
      <w:pPr>
        <w:spacing w:line="480" w:lineRule="auto" w:after="0"/>
      </w:pPr>
      <w:r>
        <w:t>Li Zhang (Corresponding Author)</w:t>
      </w:r>
    </w:p>
    <w:p>
      <w:pPr>
        <w:spacing w:line="480" w:lineRule="auto" w:after="0"/>
      </w:pPr>
      <w:r>
        <w:t>Xianming Wu (First Author)</w:t>
      </w:r>
    </w:p>
    <w:p>
      <w:pPr>
        <w:spacing w:line="480" w:lineRule="auto" w:after="0"/>
      </w:pPr>
    </w:p>
    <w:p>
      <w:pPr>
        <w:spacing w:line="480" w:lineRule="auto" w:after="0"/>
      </w:pPr>
      <w:r>
        <w:t>Li Zhang</w:t>
      </w:r>
    </w:p>
    <w:p>
      <w:pPr>
        <w:spacing w:line="480" w:lineRule="auto" w:after="0"/>
      </w:pPr>
      <w:r>
        <w:t>Institute of Blood Transfusion, CAMS &amp; PUMC, Chengdu, China</w:t>
      </w:r>
    </w:p>
    <w:p>
      <w:pPr>
        <w:spacing w:line="480" w:lineRule="auto" w:after="0"/>
      </w:pPr>
      <w:r>
        <w:t>Chinese Institute for Brain Research, Beijing, China</w:t>
      </w:r>
    </w:p>
    <w:p>
      <w:pPr>
        <w:spacing w:line="480" w:lineRule="auto" w:after="0"/>
      </w:pPr>
      <w:r>
        <w:t>Email: knightz@pumc.edu.cn | ORCID: 0000-0002-0698-0754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