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宋体" w:ascii="Arial" w:hAnsi="Arial"/>
          <w:rFonts w:ascii="Arial" w:hAnsi="Arial"/>
          <w:color w:val="000000"/>
          <w:sz w:val="22"/>
        </w:rPr>
        <w:t>2026年5月23日</w:t>
      </w:r>
    </w:p>
    <w:p/>
    <w:p>
      <w:r>
        <w:rPr>
          <w:rFonts w:eastAsia="宋体" w:ascii="Arial" w:hAnsi="Arial"/>
          <w:rFonts w:ascii="Arial" w:hAnsi="Arial"/>
          <w:color w:val="000000"/>
          <w:sz w:val="22"/>
        </w:rPr>
        <w:t>致：Nucleic Acids Research 编辑委员会</w:t>
      </w:r>
    </w:p>
    <w:p/>
    <w:p>
      <w:r>
        <w:rPr>
          <w:rFonts w:eastAsia="宋体" w:ascii="Arial" w:hAnsi="Arial"/>
          <w:rFonts w:ascii="Arial" w:hAnsi="Arial"/>
          <w:color w:val="000000"/>
          <w:sz w:val="22"/>
        </w:rPr>
        <w:t>尊敬的编辑：</w:t>
      </w:r>
    </w:p>
    <w:p/>
    <w:p>
      <w:pPr>
        <w:spacing w:line="360" w:lineRule="auto"/>
      </w:pPr>
      <w:r>
        <w:rPr>
          <w:rFonts w:eastAsia="宋体" w:ascii="Arial" w:hAnsi="Arial"/>
          <w:rFonts w:ascii="Arial" w:hAnsi="Arial"/>
          <w:color w:val="000000"/>
          <w:sz w:val="22"/>
        </w:rPr>
        <w:t>谨向贵刊投稿题为《</w:t>
      </w:r>
      <w:r>
        <w:rPr>
          <w:rFonts w:eastAsia="宋体" w:ascii="Arial" w:hAnsi="Arial"/>
          <w:rFonts w:ascii="Arial" w:hAnsi="Arial"/>
          <w:color w:val="000000"/>
          <w:sz w:val="22"/>
          <w:i/>
        </w:rPr>
        <w:t>CKI：一种受Ka/Ks启发、用于单细胞转录组学中细胞类型鉴定的指数</w:t>
      </w:r>
      <w:r>
        <w:rPr>
          <w:rFonts w:eastAsia="宋体" w:ascii="Arial" w:hAnsi="Arial"/>
          <w:rFonts w:ascii="Arial" w:hAnsi="Arial"/>
          <w:color w:val="000000"/>
          <w:sz w:val="22"/>
        </w:rPr>
        <w:t>》的论文，恳请审阅。</w:t>
      </w:r>
    </w:p>
    <w:p>
      <w:pPr>
        <w:spacing w:before="240"/>
      </w:pPr>
      <w:r>
        <w:rPr>
          <w:rFonts w:eastAsia="黑体" w:ascii="Arial" w:hAnsi="Arial"/>
          <w:rFonts w:ascii="Arial" w:hAnsi="Arial"/>
          <w:color w:val="000000"/>
          <w:sz w:val="24"/>
          <w:b/>
        </w:rPr>
        <w:t>研究概要</w:t>
      </w:r>
    </w:p>
    <w:p>
      <w:pPr>
        <w:spacing w:line="360" w:lineRule="auto"/>
      </w:pPr>
      <w:r>
        <w:rPr>
          <w:rFonts w:eastAsia="宋体" w:ascii="Arial" w:hAnsi="Arial"/>
          <w:rFonts w:ascii="Arial" w:hAnsi="Arial"/>
          <w:color w:val="000000"/>
          <w:sz w:val="22"/>
        </w:rPr>
        <w:t>当前的转录组比较方法——JS散度、余弦距离、Spearman相关等——仅测量表达差异的幅度。它们无法区分观察到的差异是反映具有生物学意义的功能性重编程，还是仅仅反映中性转录波动。这种混合代表了领域内的根本性局限，类似于四十年前Ka/Ks在分子进化中所解决的问题。</w:t>
      </w:r>
    </w:p>
    <w:p>
      <w:pPr>
        <w:spacing w:line="360" w:lineRule="auto"/>
      </w:pPr>
      <w:r>
        <w:rPr>
          <w:rFonts w:eastAsia="宋体" w:ascii="Arial" w:hAnsi="Arial"/>
          <w:rFonts w:ascii="Arial" w:hAnsi="Arial"/>
          <w:color w:val="000000"/>
          <w:sz w:val="22"/>
        </w:rPr>
        <w:t>我们提出了细胞状态动力学指数（CKI），一种将成对转录组散度分解为中性组分（k_n）和功能性组分（k_f）的计算框架。CKI omega（ω = k_f/k_n）以持家基因为中性参考进行校准，提供了一种原则性的选择性转录重编程压力度量。我们在四个互补的尺度上验证了CKI：Tabula Muris（小鼠，15,057个细胞）、Tabula Sapiens（人类，107,399个细胞）、TCGA（10,535个样本，五种癌症类型）以及Siletti人脑单细胞核图谱（非神经元细胞，888K细胞核，~100个脑区）。在脑区分析中，进一步通过乘法模型检测到213个强迁移候选信号（0.67%），其中OPC延髓迁移走廊（ω = 1.19）得到了血管引导OPC迁移机制的文献验证（Tsai 2016, Akay 2022）。CKI为从静态转录组数据推断细胞迁移历史提供了首个定量框架。</w:t>
      </w:r>
    </w:p>
    <w:p>
      <w:pPr>
        <w:spacing w:before="240"/>
      </w:pPr>
      <w:r>
        <w:rPr>
          <w:rFonts w:eastAsia="黑体" w:ascii="Arial" w:hAnsi="Arial"/>
          <w:rFonts w:ascii="Arial" w:hAnsi="Arial"/>
          <w:color w:val="000000"/>
          <w:sz w:val="24"/>
          <w:b/>
        </w:rPr>
        <w:t>核心创新点</w:t>
      </w:r>
    </w:p>
    <w:p>
      <w:pPr>
        <w:spacing w:line="360" w:lineRule="auto"/>
      </w:pPr>
      <w:r>
        <w:rPr>
          <w:rFonts w:eastAsia="黑体" w:ascii="Arial" w:hAnsi="Arial"/>
          <w:rFonts w:ascii="Arial" w:hAnsi="Arial"/>
          <w:color w:val="000000"/>
          <w:sz w:val="22"/>
          <w:b/>
        </w:rPr>
        <w:t xml:space="preserve">1. </w:t>
      </w:r>
      <w:r>
        <w:rPr>
          <w:rFonts w:eastAsia="黑体" w:ascii="Arial" w:hAnsi="Arial"/>
          <w:rFonts w:ascii="Arial" w:hAnsi="Arial"/>
          <w:color w:val="000000"/>
          <w:sz w:val="22"/>
          <w:b/>
        </w:rPr>
        <w:t>新的信息维度。</w:t>
      </w:r>
      <w:r>
        <w:rPr>
          <w:rFonts w:eastAsia="宋体" w:ascii="Arial" w:hAnsi="Arial"/>
          <w:rFonts w:ascii="Arial" w:hAnsi="Arial"/>
          <w:color w:val="000000"/>
          <w:sz w:val="22"/>
        </w:rPr>
        <w:t>CKI ω与所有四种标准距离度量呈负相关（Spearman r = −0.36至−0.46）。这并非弱点——而是证明了CKI捕获了现有工具系统性遗漏的正交转录组变异维度。</w:t>
      </w:r>
    </w:p>
    <w:p>
      <w:pPr>
        <w:spacing w:line="360" w:lineRule="auto"/>
      </w:pPr>
      <w:r>
        <w:rPr>
          <w:rFonts w:eastAsia="黑体" w:ascii="Arial" w:hAnsi="Arial"/>
          <w:rFonts w:ascii="Arial" w:hAnsi="Arial"/>
          <w:color w:val="000000"/>
          <w:sz w:val="22"/>
          <w:b/>
        </w:rPr>
        <w:t xml:space="preserve">2. </w:t>
      </w:r>
      <w:r>
        <w:rPr>
          <w:rFonts w:eastAsia="黑体" w:ascii="Arial" w:hAnsi="Arial"/>
          <w:rFonts w:ascii="Arial" w:hAnsi="Arial"/>
          <w:color w:val="000000"/>
          <w:sz w:val="22"/>
          <w:b/>
        </w:rPr>
        <w:t>跨物种普适性。</w:t>
      </w:r>
      <w:r>
        <w:rPr>
          <w:rFonts w:eastAsia="宋体" w:ascii="Arial" w:hAnsi="Arial"/>
          <w:rFonts w:ascii="Arial" w:hAnsi="Arial"/>
          <w:color w:val="000000"/>
          <w:sz w:val="22"/>
        </w:rPr>
        <w:t>在Tabula Muris、Tabula Sapiens和TCGA三个规模的数据上得到验证，CKI既复现了预期的生物学层级结构，又揭示了标准方法无法看见的模式。</w:t>
      </w:r>
    </w:p>
    <w:p>
      <w:pPr>
        <w:spacing w:line="360" w:lineRule="auto"/>
      </w:pPr>
      <w:r>
        <w:rPr>
          <w:rFonts w:eastAsia="黑体" w:ascii="Arial" w:hAnsi="Arial"/>
          <w:rFonts w:ascii="Arial" w:hAnsi="Arial"/>
          <w:color w:val="000000"/>
          <w:sz w:val="22"/>
          <w:b/>
        </w:rPr>
        <w:t xml:space="preserve">3. </w:t>
      </w:r>
      <w:r>
        <w:rPr>
          <w:rFonts w:eastAsia="黑体" w:ascii="Arial" w:hAnsi="Arial"/>
          <w:rFonts w:ascii="Arial" w:hAnsi="Arial"/>
          <w:color w:val="000000"/>
          <w:sz w:val="22"/>
          <w:b/>
        </w:rPr>
        <w:t>癌症生物学洞见。</w:t>
      </w:r>
      <w:r>
        <w:rPr>
          <w:rFonts w:eastAsia="宋体" w:ascii="Arial" w:hAnsi="Arial"/>
          <w:rFonts w:ascii="Arial" w:hAnsi="Arial"/>
          <w:color w:val="000000"/>
          <w:sz w:val="22"/>
        </w:rPr>
        <w:t>在TCGA中，CKI揭示了：(a) 肿瘤转录组矛盾性地比匹配正常组织更均质（NN/TT比值1.6–3.0倍）；(b) 侵袭性基底样乳腺癌表现出最低的肿瘤内异质性；(c) 配对肿瘤-正常距离与随机配对无法区分——这些发现挑战了癌症转录组学中的既有假设。</w:t>
      </w:r>
    </w:p>
    <w:p>
      <w:pPr>
        <w:spacing w:line="360" w:lineRule="auto"/>
      </w:pPr>
      <w:r>
        <w:rPr>
          <w:rFonts w:eastAsia="黑体" w:ascii="Arial" w:hAnsi="Arial"/>
          <w:rFonts w:ascii="Arial" w:hAnsi="Arial"/>
          <w:color w:val="000000"/>
          <w:sz w:val="22"/>
          <w:b/>
        </w:rPr>
        <w:t xml:space="preserve">4. </w:t>
      </w:r>
      <w:r>
        <w:rPr>
          <w:rFonts w:eastAsia="黑体" w:ascii="Arial" w:hAnsi="Arial"/>
          <w:rFonts w:ascii="Arial" w:hAnsi="Arial"/>
          <w:color w:val="000000"/>
          <w:sz w:val="22"/>
          <w:b/>
        </w:rPr>
        <w:t>跨器官细胞类型保守性。</w:t>
      </w:r>
      <w:r>
        <w:rPr>
          <w:rFonts w:eastAsia="宋体" w:ascii="Arial" w:hAnsi="Arial"/>
          <w:rFonts w:ascii="Arial" w:hAnsi="Arial"/>
          <w:color w:val="000000"/>
          <w:sz w:val="22"/>
        </w:rPr>
        <w:t>CKI ω量化了免疫细胞（巨噬细胞ω = 4.5，CD8+ T = 6.2，中性粒细胞 = 6.1）的跨器官保守性比结构细胞（红细胞ω = 55.1，内皮细胞 = 35.2）高8–12倍，首次提供了沿功能轴量化细胞类型保守性的排名。</w:t>
      </w:r>
    </w:p>
    <w:p>
      <w:pPr>
        <w:spacing w:line="360" w:lineRule="auto"/>
      </w:pPr>
      <w:r>
        <w:rPr>
          <w:rFonts w:eastAsia="黑体" w:ascii="Arial" w:hAnsi="Arial"/>
          <w:rFonts w:ascii="Arial" w:hAnsi="Arial"/>
          <w:color w:val="000000"/>
          <w:sz w:val="22"/>
          <w:b/>
        </w:rPr>
        <w:t xml:space="preserve">5. </w:t>
      </w:r>
      <w:r>
        <w:rPr>
          <w:rFonts w:eastAsia="黑体" w:ascii="Arial" w:hAnsi="Arial"/>
          <w:rFonts w:ascii="Arial" w:hAnsi="Arial"/>
          <w:color w:val="000000"/>
          <w:sz w:val="22"/>
          <w:b/>
        </w:rPr>
        <w:t>脑区功能分化与迁移推断。</w:t>
      </w:r>
      <w:r>
        <w:rPr>
          <w:rFonts w:eastAsia="宋体" w:ascii="Arial" w:hAnsi="Arial"/>
          <w:rFonts w:ascii="Arial" w:hAnsi="Arial"/>
          <w:color w:val="000000"/>
          <w:sz w:val="22"/>
        </w:rPr>
        <w:t>在人脑非神经元细胞图谱（Siletti 2023）的31,764对跨脑区比较中，CKI ω揭示了7.6倍分化梯度：从Bergmann胶质细胞（ω = 15.97）和血管细胞（ω = 21.54）的跨脑区高度保守，到星形胶质细胞（ω = 121.77）的极端区域性功能特化。进一步通过乘法模型检测到213个强迁移候选信号（0.67%），以OPC延髓迁移走廊（ω = 1.19）为文献验证最充分的案例（Tsai 2016 Science, Akay 2022 Neuron）。小胶质细胞的迁移信号与主流观点矛盾但可解释为发育定植残留——提出了可经谱系追踪验证的全新假说。CKI是首个从静态转录组数据系统推断细胞迁移历史的计算工具。</w:t>
      </w:r>
    </w:p>
    <w:p>
      <w:pPr>
        <w:spacing w:before="240"/>
      </w:pPr>
      <w:r>
        <w:rPr>
          <w:rFonts w:eastAsia="黑体" w:ascii="Arial" w:hAnsi="Arial"/>
          <w:rFonts w:ascii="Arial" w:hAnsi="Arial"/>
          <w:color w:val="000000"/>
          <w:sz w:val="24"/>
          <w:b/>
        </w:rPr>
        <w:t>与Nucleic Acids Research的契合度</w:t>
      </w:r>
    </w:p>
    <w:p>
      <w:pPr>
        <w:spacing w:line="360" w:lineRule="auto"/>
      </w:pPr>
      <w:r>
        <w:rPr>
          <w:rFonts w:eastAsia="宋体" w:ascii="Arial" w:hAnsi="Arial"/>
          <w:rFonts w:ascii="Arial" w:hAnsi="Arial"/>
          <w:color w:val="000000"/>
          <w:sz w:val="22"/>
        </w:rPr>
        <w:t>CKI是一种广泛适用的计算方法，在单细胞基因组学、癌症生物学、发育生物学和比较转录组学中具有即时应用价值。该方法的概念清晰性——Ka/Ks类比——使其易于被广泛读者理解，而其计算简便性（伪批量级别，兼容任何scRNA-seq流程）确保了快速采用。我们认为这项工作与Nucleic Acids Research强调方法论创新和可验证生物学影响的方向高度一致。</w:t>
      </w:r>
    </w:p>
    <w:p>
      <w:pPr>
        <w:spacing w:before="240"/>
      </w:pPr>
      <w:r>
        <w:rPr>
          <w:rFonts w:eastAsia="黑体" w:ascii="Arial" w:hAnsi="Arial"/>
          <w:rFonts w:ascii="Arial" w:hAnsi="Arial"/>
          <w:color w:val="000000"/>
          <w:sz w:val="24"/>
          <w:b/>
        </w:rPr>
        <w:t>相关稿件与事先沟通</w:t>
      </w:r>
    </w:p>
    <w:p>
      <w:pPr>
        <w:spacing w:line="360" w:lineRule="auto"/>
      </w:pPr>
      <w:r>
        <w:rPr>
          <w:rFonts w:eastAsia="宋体" w:ascii="Arial" w:hAnsi="Arial"/>
          <w:rFonts w:ascii="Arial" w:hAnsi="Arial"/>
          <w:color w:val="000000"/>
          <w:sz w:val="22"/>
        </w:rPr>
        <w:t>本稿件未向其他期刊投稿。无相关稿件在审或已接收。此前未就本工作与Nucleic Acids Research编辑进行沟通。</w:t>
      </w:r>
    </w:p>
    <w:p>
      <w:pPr>
        <w:spacing w:before="240"/>
      </w:pPr>
      <w:r>
        <w:rPr>
          <w:rFonts w:eastAsia="黑体" w:ascii="Arial" w:hAnsi="Arial"/>
          <w:rFonts w:ascii="Arial" w:hAnsi="Arial"/>
          <w:color w:val="000000"/>
          <w:sz w:val="24"/>
          <w:b/>
        </w:rPr>
        <w:t>原创性声明</w:t>
      </w:r>
    </w:p>
    <w:p>
      <w:pPr>
        <w:spacing w:line="360" w:lineRule="auto"/>
      </w:pPr>
      <w:r>
        <w:rPr>
          <w:rFonts w:eastAsia="宋体" w:ascii="Arial" w:hAnsi="Arial"/>
          <w:rFonts w:ascii="Arial" w:hAnsi="Arial"/>
          <w:color w:val="000000"/>
          <w:sz w:val="22"/>
        </w:rPr>
        <w:t>本稿件呈现的是原创工作，未曾发表，亦未被其他期刊考虑。所有数据来源均为公开可用（Tabula Muris, Tabula Sapiens, TCGA）。CKI Python软件包（pip install git+https://github.com/zhanglknt/CKI-cell-type-identification.git）已在GitHub开源（https://github.com/zhanglknt/CKI-cell-type-identification），以MIT许可证发布（版本 v1.0.0）。作者声明不存在竞争性经济利益。</w:t>
      </w:r>
    </w:p>
    <w:p/>
    <w:p/>
    <w:p>
      <w:r>
        <w:rPr>
          <w:rFonts w:eastAsia="宋体" w:ascii="Arial" w:hAnsi="Arial"/>
          <w:rFonts w:ascii="Arial" w:hAnsi="Arial"/>
          <w:color w:val="000000"/>
          <w:sz w:val="22"/>
        </w:rPr>
        <w:t>此致</w:t>
      </w:r>
    </w:p>
    <w:p/>
    <w:p>
      <w:r>
        <w:rPr>
          <w:rFonts w:eastAsia="宋体" w:ascii="Arial" w:hAnsi="Arial"/>
          <w:rFonts w:ascii="Arial" w:hAnsi="Arial"/>
          <w:color w:val="000000"/>
          <w:sz w:val="24"/>
          <w:b/>
        </w:rPr>
        <w:t>Li Zhang (张力)</w:t>
      </w:r>
    </w:p>
    <w:p/>
    <w:p>
      <w:r>
        <w:rPr>
          <w:rFonts w:eastAsia="宋体" w:ascii="Arial" w:hAnsi="Arial"/>
          <w:rFonts w:ascii="Arial" w:hAnsi="Arial"/>
          <w:color w:val="000000"/>
          <w:sz w:val="22"/>
        </w:rPr>
        <w:t>中国医学科学院 北京协和医学院 输血研究所</w:t>
      </w:r>
    </w:p>
    <w:p>
      <w:r>
        <w:rPr>
          <w:rFonts w:eastAsia="宋体" w:ascii="Arial" w:hAnsi="Arial"/>
          <w:rFonts w:ascii="Arial" w:hAnsi="Arial"/>
          <w:color w:val="000000"/>
          <w:sz w:val="22"/>
        </w:rPr>
        <w:t>成都</w:t>
      </w:r>
    </w:p>
    <w:p>
      <w:r>
        <w:rPr>
          <w:rFonts w:eastAsia="宋体" w:ascii="Arial" w:hAnsi="Arial"/>
          <w:rFonts w:ascii="Arial" w:hAnsi="Arial"/>
          <w:color w:val="000000"/>
          <w:sz w:val="22"/>
        </w:rPr>
        <w:t>北京脑科学与类脑研究所</w:t>
      </w:r>
    </w:p>
    <w:p>
      <w:r>
        <w:rPr>
          <w:rFonts w:eastAsia="宋体" w:ascii="Arial" w:hAnsi="Arial"/>
          <w:rFonts w:ascii="Arial" w:hAnsi="Arial"/>
          <w:color w:val="000000"/>
          <w:sz w:val="22"/>
        </w:rPr>
        <w:t>北京</w:t>
      </w:r>
    </w:p>
    <w:p>
      <w:r>
        <w:rPr>
          <w:rFonts w:eastAsia="宋体" w:ascii="Arial" w:hAnsi="Arial"/>
          <w:rFonts w:ascii="Arial" w:hAnsi="Arial"/>
          <w:color w:val="000000"/>
          <w:sz w:val="22"/>
        </w:rPr>
        <w:t>电子邮箱：knightz@pumc.edu.cn</w:t>
      </w:r>
    </w:p>
    <w:p>
      <w:r>
        <w:rPr>
          <w:rFonts w:eastAsia="宋体" w:ascii="Arial" w:hAnsi="Arial"/>
          <w:rFonts w:ascii="Arial" w:hAnsi="Arial"/>
          <w:color w:val="000000"/>
          <w:sz w:val="22"/>
        </w:rPr>
        <w:t>ORCID: 0000-0002-0698-0754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auto"/>
    </w:pPr>
    <w:rPr>
      <w:rFonts w:eastAsia="宋体" w:ascii="Arial" w:hAnsi="Arial"/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