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补充材料</w:t>
      </w:r>
    </w:p>
    <w:p>
      <w:pPr>
        <w:jc w:val="center"/>
      </w:pPr>
      <w:r>
        <w:rPr>
          <w:rFonts w:eastAsia="宋体" w:ascii="Arial" w:hAnsi="Arial"/>
          <w:rFonts w:ascii="Arial" w:hAnsi="Arial"/>
          <w:color w:val="000000"/>
          <w:sz w:val="24"/>
          <w:i/>
        </w:rPr>
        <w:t>CKI：一种用于量化选择性转录重编程的细胞状态动力学指数</w:t>
      </w:r>
    </w:p>
    <w:p>
      <w:pPr>
        <w:jc w:val="center"/>
      </w:pPr>
      <w:r>
        <w:rPr>
          <w:rFonts w:eastAsia="宋体" w:ascii="Arial" w:hAnsi="Arial"/>
          <w:rFonts w:ascii="Arial" w:hAnsi="Arial"/>
          <w:color w:val="000000"/>
          <w:sz w:val="22"/>
        </w:rPr>
        <w:t>张力 (Li Zhang)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目录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补充说明1：CKI数学推导（JS散度、k_n、k_f、ω、bootstrap置换检验、伪批量构建）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补充说明2：CKI算法伪代码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补充说明3：统计检验细节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补充说明4：数据集质量控制与过滤标准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补充表1：参数扫描结果（Phase 3.2）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补充表2：跨器官保守性数据（Phase 3.5）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补充表3：人脑非神经元细胞脑区CKI数据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补充表4：脑区间细胞迁移候选数据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补充数据1：全部分析脚本索引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补充说明1：CKI数学推导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1.1 Jensen-Shannon散度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Jensen-Shannon（JS）散度是Kullback-Leibler散度的对称化平滑版本。对于两个概率向量p和q：JS(p, q) = 1/2 D(p||m) + 1/2 D(q||m)，其中m = 1/2(p+q)，D(p||q) = Σ p_i log2(p_i/q_i)。使用以2为底对数时，JS散度取值[0, 1]。这一界限对于解释omega至关重要：当k_n和k_f均接近1时，omega = k_f/k_n仍可能变化，实践中上限截断为1,000。CKI计算前先执行softmax归一化，将原始表达向量转换为概率分布：softmax(x)_i = exp(x_i)/Σexp(x_j)。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1.2 中性偏移速率k_n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持家（HK）基因定义为在细胞类型和条件下维持稳定表达的基因。令H = {g1, ..., gM}为HK基因索引集。给定伪批量向量μ_A和μ_B（长度G，总基因数），中性偏移速率为：k_n = JS(softmax(μ_A[H]), softmax(μ_B[H]))。原理：HK基因在生物学上相同的细胞群体间不应存在系统性差异。HK基因上观察到的JS散度因此反映中性噪声：技术变异、随机转录爆发和个体水平生理差异。k_n由此提供了一个内部中性基线，类似于分子进化中的Ks（同义替换速率）。HK基因集选择：CKI通过数据驱动自动检测HK基因（联合标准：检出率 &gt; 0.9 且 CV &lt; 30%分位数），辅以HRT Atlas v1.0共识集（1,130个人鼠保守HK基因）为可选增强。敏感性分析表明CKI结果对HK集选择稳健：使用前10%最低变异基因作为替代中性集合，omega相关性r &gt; 0.95。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1.3 功能转化速率k_f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身份基因I定义为捕获细胞类型特异性功能程序的基因。在默认配置（w1 = 1.0, w2 = 0.0）中，I由top-N高变基因（HVG）组成，排除HK基因。功能转化速率：k_f = JS(softmax(μ_A[I]), softmax(μ_B[I]))。扩展配置可纳入额外基因集：（1）regulon活性基因——富集细胞类型特异性转录因子motif的基因；（2）通路富集基因——两组间差异活跃的MSigDB通路基因；（3）宏基因嵌入——来自蛋白质语言模型（如ESM-2）的基因水平嵌入。这些扩展采用加权方式：k_f = w1*JS(HVG) + w2*JS(pathway) + w3*JS(macro)。参数扫描（Phase 3.2）显示纯身份基因配置（w1=1.0, w2=w3=0.0）实现了最优细胞类型判别（AUC = 0.786），因此本文采用此作为默认方案。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1.4 Omega比值及其解释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ω = k_f/k_n。解释遵循Ka/Ks类比：ω ≈ 1：观察到的转录组差异与中性预期一致，无选择性重编程证据；ω &gt;&gt; 1：功能差异超过中性偏移，存在选择性转录重编程证据；ω &lt;&lt; 1：功能约束，两组在功能基因上比中性漂变预期更相似（实践中罕见）。Ka/Ks类比结构上相似但数学上非等同。关键差异：（1）Ka/Ks作用于具有显式密码子模型的序列比对，CKI作用于连续表达向量；（2）Ka/Ks的中性参考在遗传密码中具有机制基础（同义变化假定为中性），CKI中的HK基因是经验定义的；（3）Ka/Ks使用显式进化模型（如PAML），CKI使用经验bootstrap推断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1.5 Bootstrap置换检验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统计推断通过在原假设（两个细胞群体来自同一分布）下生成omega的零分布来进行。流程：（1）为合并数据集中所有细胞标注原始群体标签（A或B）；（2）随机置换标签B次（默认B=1,000），每次重新计算伪批量向量和omega_null；（3）经验P值 = (count(ω_null ≥ ω_obs) + 1)/(B + 1)，+1项避免P = 0；（4）效应量：Cohen's d = (ω_obs − mean(ω_null))/sd(ω_null)。注：当前分析中未系统施加多重检验校正；所有报告的P值为原始bootstrap P值。Omega的置信区间通过百分位bootstrap获得：零分布的第2.5和第97.5百分位。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1.6 伪批量构建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原始计数矩阵X（细胞×基因）预处理如下：（1）文库大小归一化：X_norm = 10,000 × (X/colSums(X))；（2）log1p转换：X_log = log1p(X_norm)，稳定方差并降低高表达离群值的影响；（3）伪批量：μ = 具有相同细胞类型注释的全部细胞的X_log逐列均值，每组至少10个细胞。对于TCGA bulk RNA-seq数据，改用FPKM归一化：来自GDC的FPKM值，随后进行log2(x+1)转换。无需伪批量步骤，因为每个样本已是bulk表达谱。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补充说明2：CKI算法伪代码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算法1：CKI核心计算</w:t>
      </w:r>
    </w:p>
    <w:p>
      <w:pPr>
        <w:spacing w:line="360" w:lineRule="auto" w:after="0"/>
      </w:pPr>
      <w:r>
        <w:rPr>
          <w:rFonts w:eastAsia="宋体" w:ascii="Arial" w:hAnsi="Arial"/>
          <w:rFonts w:ascii="Arial" w:hAnsi="Arial"/>
          <w:color w:val="000000"/>
          <w:sz w:val="24"/>
        </w:rPr>
        <w:t>输入：两个细胞群体A和B（表达矩阵），HK基因集H，身份基因集I（默认top-N HVG \ H）</w:t>
        <w:br/>
        <w:t>输出：omega, P值, Cohen's d, 零分布</w:t>
        <w:br/>
        <w:br/>
        <w:t>1.  X_A, X_B ← 文库归一化并log1p转换A和B</w:t>
        <w:br/>
        <w:t>2.  μ_A ← mean(X_A, axis=0);  μ_B ← mean(X_B, axis=0)  // 伪批量</w:t>
        <w:br/>
        <w:t>3.  μ_A_H ← μ_A[H];  μ_B_H ← μ_B[H]</w:t>
        <w:br/>
        <w:t>4.  k_n ← JS_divergence(softmax(μ_A_H), softmax(μ_B_H))</w:t>
        <w:br/>
        <w:t>5.  μ_A_I ← μ_A[I];  μ_B_I ← μ_B[I]</w:t>
        <w:br/>
        <w:t>6.  k_f ← JS_divergence(softmax(μ_A_I), softmax(μ_B_I))</w:t>
        <w:br/>
        <w:t>7.  omega ← k_f / k_n  // 截断至1,000</w:t>
        <w:br/>
        <w:t>8.  // Bootstrap</w:t>
        <w:br/>
        <w:t>9.  labels ← concatenate([A]*n_A, [B]*n_B)</w:t>
        <w:br/>
        <w:t>10. for b = 1 to B (默认1,000):</w:t>
        <w:br/>
        <w:t>11.    labels_perm ← random_permutation(labels)</w:t>
        <w:br/>
        <w:t>12.    A_perm, B_perm ← 按labels_perm拆分</w:t>
        <w:br/>
        <w:t>13.    omega_null[b] ← CKI_core(A_perm, B_perm, H, I)</w:t>
        <w:br/>
        <w:t>14. // 推断</w:t>
        <w:br/>
        <w:t>15. P ← (count(omega_null &gt;= omega) + 1) / (B + 1)</w:t>
        <w:br/>
        <w:t>16. d ← (omega - mean(omega_null)) / sd(omega_null)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算法2：逐对身份基因选择（Tabula Sapiens扩展）</w:t>
      </w:r>
    </w:p>
    <w:p>
      <w:pPr>
        <w:spacing w:line="360" w:lineRule="auto" w:after="0"/>
      </w:pPr>
      <w:r>
        <w:rPr>
          <w:rFonts w:eastAsia="宋体" w:ascii="Arial" w:hAnsi="Arial"/>
          <w:rFonts w:ascii="Arial" w:hAnsi="Arial"/>
          <w:color w:val="000000"/>
          <w:sz w:val="24"/>
        </w:rPr>
        <w:t>不同于Tabula Muris（全局HVG集），Tabula Sapiens采用逐对身份基因选择，避免HVG在99种细胞类型中被稀释。</w:t>
        <w:br/>
        <w:br/>
        <w:t>输入：伪批量向量μ_A, μ_B；HK集H；top-N参数N（默认200）</w:t>
        <w:br/>
        <w:t>1.  Delta ← |μ_A − μ_B|  // 每基因绝对表达差异</w:t>
        <w:br/>
        <w:t>2.  I ← 按Delta降序排列的top-N基因索引，排除H</w:t>
        <w:br/>
        <w:t>3.  k_f ← JS(softmax(μ_A[I]), softmax(μ_B[I]))</w:t>
        <w:br/>
        <w:br/>
        <w:t>注意：k_n使用全局HK集（所有对相同）；k_f使用逐对top-N基因。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补充说明3：统计检验细节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3.1 执行检验与校正策略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本研究使用以下统计检验：Mann-Whitney U检验（双侧）用于两组间独立比较；Kruskal-Wallis检验用于多组比较（如BRCA PAM5亚型）；Jonckheere-Terpstra趋势检验用于有序分类变量（如LIHC Edmondson分级）；Spearman秩相关用于度量间相关性；Bootstrap置换检验（B=1,000）用于CKI omega显著性推断；ROC-AUC用于细胞类型分类性能评估。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3.2 Bootstrap细节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Bootstrap迭代次数：全部主要结果为B=1,000（Phase 3.2参数扫描使用B=500）。经验P值公式中分子和分母均使用+1伪计数以避免零P值。Cohen's d解释：d &lt; 0.2 = 可忽略；0.2–0.5 = 小；0.5–0.8 = 中；&gt; 0.8 = 大。CKI结果中d值通常&gt;1.0（显著比较），表明大效应量。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3.3 多重检验校正说明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注：当前分析中未系统施加Benjamini-Hochberg FDR校正或其他多重检验校正程序。所有报告的显著性判断均基于原始bootstrap P值（P &lt; 0.05），效应量（Cohen's d）始终很大（通常d &gt; 1.0），提供额外的证据强度。TCGA分层分析（BRCA PAM50、LIHC Edmondson）比较数较少（4-5组），使用综合检验（Kruskal-Wallis、Jonckheere-Terpstra），除综合P值外不附加额外校正。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3.4 报告惯例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汇总统计量以均值 ± 标准差（范围）或中位数[四分位距]报告。箱线图显示：中位数（中心线）、IQR（箱体）、1.5× IQR（须线），超出须线的数据点为离群值。全文P值均采用双侧检验，除非另有说明。相关系数（Spearman ρ）附带P值报告。效应量（Cohen's d）随所有显著omega比较报告。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补充说明4：数据集质量控制与过滤标准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4.1 Tabula Muris FACS（小鼠）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从GEO（GSE109774）下载。使用FACS分选细胞（非液滴法）以确保较高的单细胞基因检测数。QC过滤：检测基因&lt;500的细胞移除；线粒体基因表达&gt;10%的细胞移除；在&lt;3个细胞中检测到的基因移除。结果：15,057个细胞 × 22,308个基因（QC后）。细胞类型注释：保留每组≥10个细胞的32个细胞类型条目用于伪批量构建，跨6个器官（肝脏、肾脏、脾脏、肺脏、心脏、骨髓）。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4.2 Tabula Sapiens（人类）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从CZ CELLxGENE Discover下载。QC过滤：检测基因&lt;200的细胞移除；线粒体基因表达&gt;20%的细胞移除。结果：QC后保留108,136个细胞（6个h5ad文件合计），51,852个基因（从原始58,870过滤后）。细胞类型条目：跨6个器官（Liver、Kidney、Heart、Bone Marrow、Spleen、Lung）的99个条目。纳入成对omega分析的细胞类型须在至少一个供体中≥10个细胞。逐对身份基因选择（按|Delta表达|排名top-200基因）确保每次比较使用对该对最具信息量的基因。人类HK基因：数据驱动自动检测（联合标准），辅以HRT Atlas v1.0中1,129个具有人类直系同源物、通过gene symbol映射的基因（1个基因无人类直系同源物被排除）。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4.3 TCGA bulk RNA-seq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从NCI Genomic Data Commons获取数据。选定五种癌症类型：LUAD（515肿瘤 + 59正常）、LUSC（501 + 51）、LIHC（371 + 50）、KIRC（533 + 72）、BRCA（1,093 + 113），总计n = 10,535个样本。归一化：GDC的FPKM值，随后进行log2(x+1)转换。对于配对分析，按患者barcode（TCGA-XX-XXXX格式）匹配肿瘤-正常对。分层分析的临床元数据来自GDC（通过TCGAbiolinks R包）和cBioPortal API。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28"/>
          <w:b/>
        </w:rPr>
        <w:t>4.4 高变基因（HVG）选择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Tabula Muris：使用scanpy.pp.highly_variable_genes进行全局HVG选择，参数flavor='seurat'、n_top_genes=2,000。全局HVG集用于Phase 3.1–3.2的全部成对比较。Tabula Sapiens：逐对HVG选择。对于每对细胞类型(CT_i, CT_j)，按|μ_i − μ_j|（绝对log1p表达差异）排名的top-200基因选为身份基因，排除HK基因。这避免了跨99种细胞类型比较时HVG的稀释效应。HVG数量敏感性：参数扫描（Phase 3.2）测试了N_HVG ∈ {50, 100, 200, 500, 1,000, 2,000}。全局方案（小鼠）在N=2,000时AUC达到最大，但逐对方案（人类）使用N=200以在保持判别力的同时实现计算效率。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补充表1：参数扫描结果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Phase 3.2在Tabula Muris小鼠数据上的参数扫描（n = 703对细胞类型，6个器官）。纯身份基因配置（w1 = 1.0, w2 = 0.0）实现了最优细胞类型区分（AUC = 0.786）。结果见文件 results/phase32_sweep_results.csv，可视化见 results/phase32_sweep_barplot.png。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补充表2：跨器官保守性数据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Tabula Sapiens中59对同一细胞类型跨器官配对的完整数据集，包括omega、Jensen-Shannon散度、Spearman距离、Cosine距离和Marker Jaccard距离值。数据见 results/phase35_cross_organ_conservation.csv。</w:t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补充表3：人脑非神经元细胞脑区CKI数据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Siletti等人（2023）人脑图谱非神经元细胞的CKI脑区分析完整结果，包含10种细胞类型的31,764对跨脑区比较。每种细胞类型汇总统计量（ω均值、中位数、标准差、范围、k_n和k_f组分）详见补充表3。原始数据文件：results/brain_region_omega.csv （31,764行），results/brain_region_summary.csv（10行摘要）。分析脚本：notebooks/27_brain_region_cki.py。图表生成：notebooks/28_gen_fig6.py。可视化输出：results/figures_final/figure6_brain_regional_cki.png。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补充表4：脑区间细胞迁移候选数据</w:t>
      </w:r>
    </w:p>
    <w:p>
      <w:pPr>
        <w:spacing w:line="360" w:lineRule="auto" w:after="0"/>
        <w:ind w:firstLine="420"/>
      </w:pPr>
      <w:r>
        <w:rPr>
          <w:rFonts w:eastAsia="宋体" w:ascii="Arial" w:hAnsi="Arial"/>
          <w:rFonts w:ascii="Arial" w:hAnsi="Arial"/>
          <w:color w:val="000000"/>
          <w:sz w:val="24"/>
        </w:rPr>
        <w:t>基于乘法模型的脑区间潜在细胞迁移候选检测结果。全量31,764对跨脑区比较中，5,346对（16.83%）被分类为迁移候选：强信号213个（残差 &lt; 0.3, ω &lt; 15, pair内rank=1, pair中位ω &gt; 20），中等信号1,294个（残差 &lt; 0.5, ω &lt; 25），弱信号3,839个（残差 &lt; 0.75, ω &lt; 35）。按细胞类型的最强迁移信号（残差排序前5）：OPC MoRF-MoEN vs. MoSR（ω = 1.19, 残差 = 0.033）、星形胶质细胞 A23 vs. ITG（ω = 2.60, 残差 = 0.041）、少突胶质细胞 A23 vs. SN（ω = 4.53, 残差 = 0.063）、OPC GPi vs. PN（ω = 4.14, 残差 = 0.076）、血管细胞 A44-A45 vs. VA（ω = 1.75, 残差 = 0.083）。完整候选数据集：results/brain_migration/migration_candidates.csv（5,346行）。分析脚本：notebooks/29_brain_migration_detection.py。文献验证报告：results/brain_migration/literature_validation_report.md。</w:t>
      </w:r>
    </w:p>
    <w:p>
      <w:r>
        <w:br w:type="page"/>
      </w:r>
    </w:p>
    <w:p>
      <w:pPr>
        <w:spacing w:before="360" w:after="120" w:line="360" w:lineRule="auto"/>
      </w:pPr>
      <w:r>
        <w:rPr>
          <w:rFonts w:eastAsia="黑体" w:ascii="Arial" w:hAnsi="Arial"/>
          <w:rFonts w:ascii="Arial" w:hAnsi="Arial"/>
          <w:color w:val="000000"/>
          <w:sz w:val="32"/>
          <w:b/>
        </w:rPr>
        <w:t>补充数据1：分析脚本索引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黑体" w:ascii="Arial" w:hAnsi="Arial"/>
                <w:rFonts w:ascii="Arial" w:hAnsi="Arial"/>
                <w:color w:val="000000"/>
                <w:sz w:val="18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eastAsia="黑体" w:ascii="Arial" w:hAnsi="Arial"/>
                <w:rFonts w:ascii="Arial" w:hAnsi="Arial"/>
                <w:color w:val="000000"/>
                <w:sz w:val="18"/>
                <w:b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rFonts w:eastAsia="黑体" w:ascii="Arial" w:hAnsi="Arial"/>
                <w:rFonts w:ascii="Arial" w:hAnsi="Arial"/>
                <w:color w:val="000000"/>
                <w:sz w:val="18"/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3.1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01_pilot_mouse.py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小鼠先导数据集上的初始CKI验证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3.2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02_ct_pilot.py, 03_full_matrix.py, 04_phase32_sweep.py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小鼠校准、全矩阵、参数扫描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3.3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05_phase33_human.py (v1–v3)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人类跨物种验证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3.4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06_phase34_tcga.py (v1–v2), 08–12 分层分析脚本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TCGA泛癌及分层分析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3.5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13_phase35_method_comparison.py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五种度量的方法学比较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Phase 3.6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14_phase36_figures.py, 15_md_to_docx.py, 30_nar_figures_final.py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图表生成与稿件排版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脑区分析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27_brain_region_cki.py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人脑非神经元细胞跨脑区CKI分析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Figure 6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28_gen_fig6.py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脑区功能分化图表生成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迁移检测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29_brain_migration_detection.py</w:t>
            </w:r>
          </w:p>
        </w:tc>
        <w:tc>
          <w:tcPr>
            <w:tcW w:type="dxa" w:w="2880"/>
          </w:tcPr>
          <w:p>
            <w:r>
              <w:rPr>
                <w:rFonts w:eastAsia="宋体" w:ascii="Arial" w:hAnsi="Arial"/>
                <w:rFonts w:ascii="Arial" w:hAnsi="Arial"/>
                <w:color w:val="000000"/>
                <w:sz w:val="18"/>
              </w:rPr>
              <w:t>乘法模型脑区间细胞迁移候选检测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eastAsia="宋体" w:ascii="Arial" w:hAnsi="Arial"/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