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40"/>
        <w:jc w:val="left"/>
      </w:pPr>
      <w:r>
        <w:rPr>
          <w:rFonts w:ascii="Arial" w:hAnsi="Arial"/>
          <w:b/>
          <w:color w:val="000000"/>
          <w:sz w:val="18"/>
        </w:rPr>
        <w:t>Table S1. Parameter sweep: CKI omega component weights (mouse Tabula Muris, n=703 pairs)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Weight scheme (w_identity + w_pathway)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AUC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P-value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w_id=1.0, w_pw=0.0 (CKI omega)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0.786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&lt;0.001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Optimal; identity-only k_f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w_id=0.7, w_pw=0.3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0.721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&lt;0.01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Minor pathway contribution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w_id=0.5, w_pw=0.5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0.698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&lt;0.05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Equal weighting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w_id=0.3, w_pw=0.7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0.654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0.08</w:t>
            </w:r>
          </w:p>
        </w:tc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Pathway-dominated; suboptimal</w:t>
            </w:r>
          </w:p>
        </w:tc>
      </w:tr>
    </w:tbl>
    <w:p>
      <w:pPr>
        <w:spacing w:after="120"/>
        <w:jc w:val="left"/>
      </w:pPr>
      <w:r>
        <w:rPr>
          <w:rFonts w:ascii="Arial" w:hAnsi="Arial"/>
          <w:i/>
          <w:color w:val="000000"/>
          <w:sz w:val="14"/>
        </w:rPr>
        <w:t>AUC: area under ROC curve for same-CT vs different-CT classification (mouse Tabula Muris). P-values from bootstrap test (B=1,000). w_id: identity gene weight; w_pw: pathway enrichment weight. CKI omega uses only identity genes (w_id=1.0) as the default configuration.</w:t>
      </w:r>
    </w:p>
    <w:p/>
    <w:p>
      <w:pPr>
        <w:spacing w:after="120" w:before="240"/>
        <w:jc w:val="left"/>
      </w:pPr>
      <w:r>
        <w:rPr>
          <w:rFonts w:ascii="Arial" w:hAnsi="Arial"/>
          <w:b/>
          <w:color w:val="000000"/>
          <w:sz w:val="18"/>
        </w:rPr>
        <w:t>Table S2. Cross-organ cell-type conservation ranking (Tabula Sapiens, n=60 same-CT cross-organ pairs)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Rank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Cell type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Mean omega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Median omega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n pairs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b cell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2.71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2.71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neutrophil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2.71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2.54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6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plasmacytoid d..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6.02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6.02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smooth muscle ..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6.29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6.29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5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plasma cell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6.61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5.87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6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erythrocyte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6.90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3.89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7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cd8-positive, ..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8.26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7.32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6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8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intermediate m..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8.63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8.63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9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hepatocyte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8.77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8.77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nk cell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9.47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9.79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11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hematopoietic ..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9.66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9.66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macrophage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9.84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8.90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15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13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cd4-positive, ..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10.56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10.56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14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classical mono..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11.64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11.64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15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monocyte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11.80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11.80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naive b cell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12.36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12.36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17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EC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15.09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12.57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18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memory b cell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16.83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16.83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</w:tbl>
    <w:p>
      <w:pPr>
        <w:spacing w:after="120"/>
        <w:jc w:val="left"/>
      </w:pPr>
      <w:r>
        <w:rPr>
          <w:rFonts w:ascii="Arial" w:hAnsi="Arial"/>
          <w:i/>
          <w:color w:val="000000"/>
          <w:sz w:val="14"/>
        </w:rPr>
        <w:t>omega = k_f/k_n. Lower omega indicates higher cross-organ conservation (i.e. same cell type shows similar transcriptional states across different organs). n pairs: number of cross-organ comparisons for that cell type (same cell type, different organs). Data from Tabula Sapiens Phase33 v3.</w:t>
      </w:r>
    </w:p>
    <w:p/>
    <w:p>
      <w:pPr>
        <w:spacing w:after="120" w:before="240"/>
        <w:jc w:val="left"/>
      </w:pPr>
      <w:r>
        <w:rPr>
          <w:rFonts w:ascii="Arial" w:hAnsi="Arial"/>
          <w:b/>
          <w:color w:val="000000"/>
          <w:sz w:val="18"/>
        </w:rPr>
        <w:t>Table S3. Brain regional CKI omega by non-neuronal cell class (Siletti et al. 2023, n=31764 pairs)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Cell class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Mean omega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Median omega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Min omega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Max omega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n pairs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Bergmann glia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2.37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1.87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1.24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6.29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21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Committed oligodendrocyte precursor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3.17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2.75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1.35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11.04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1326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Vascular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3.40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3.06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1.57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11.24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3321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Fibroblast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3.99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3.43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1.68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22.14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3403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Ependymal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4.13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3.80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1.63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14.67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780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Choroid plexus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4.80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4.34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2.91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7.70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Oligodendrocyte precursor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7.65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6.65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1.57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32.55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5671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Microglia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8.02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6.69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1.53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79.41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5671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Oligodendrocyte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8.66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7.49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1.76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42.02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5778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Astrocyte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14.36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12.12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1.63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68.79</w:t>
            </w:r>
          </w:p>
        </w:tc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5778</w:t>
            </w:r>
          </w:p>
        </w:tc>
      </w:tr>
    </w:tbl>
    <w:p>
      <w:pPr>
        <w:spacing w:after="120"/>
        <w:jc w:val="left"/>
      </w:pPr>
      <w:r>
        <w:rPr>
          <w:rFonts w:ascii="Arial" w:hAnsi="Arial"/>
          <w:i/>
          <w:color w:val="000000"/>
          <w:sz w:val="14"/>
        </w:rPr>
        <w:t>n pairs: number of same-cell-type cross-region comparisons. Sorted by mean omega (ascending). Total 31,764 same-CT cross-region pairs across 10 non-neuronal cell classes. Data from brain_siletti_ct_summary_v3.csv. Fold gradient: Astrocyte (14.36) / Bergmann glia (2.37) = 6.06-fold.</w:t>
      </w:r>
    </w:p>
    <w:p/>
    <w:p>
      <w:pPr>
        <w:spacing w:after="120" w:before="240"/>
        <w:jc w:val="left"/>
      </w:pPr>
      <w:r>
        <w:rPr>
          <w:rFonts w:ascii="Arial" w:hAnsi="Arial"/>
          <w:b/>
          <w:color w:val="000000"/>
          <w:sz w:val="18"/>
        </w:rPr>
        <w:t>Table S4. Cell migration candidates by cell type and tier (Siletti et al. 2023, n=30 strong among 31764 comparisons)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Cell type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Strong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Moderate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Weak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Total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Microglia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316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1372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1,698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Oligodendrocyte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224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1036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1,270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Astrocyte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237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1474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1,717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Vascular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158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617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778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Fibroblast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149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686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836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Bergmann glia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Ependymal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16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119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135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Committed oligodendrocyte precursor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59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258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317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Choroid plexus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Oligodendrocyte precursor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87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1002</w:t>
            </w:r>
          </w:p>
        </w:tc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1,089</w:t>
            </w:r>
          </w:p>
        </w:tc>
      </w:tr>
    </w:tbl>
    <w:p>
      <w:pPr>
        <w:spacing w:after="120"/>
        <w:jc w:val="left"/>
      </w:pPr>
      <w:r>
        <w:rPr>
          <w:rFonts w:ascii="Arial" w:hAnsi="Arial"/>
          <w:i/>
          <w:color w:val="000000"/>
          <w:sz w:val="14"/>
        </w:rPr>
        <w:t>Tiers defined by residual = observed_omega / expected_omega. Strong: residual &lt; 0.3 and omega &lt; 15. Moderate: residual &lt; 0.5 and omega &lt; 25. Weak: residual &lt; 0.75 and omega &lt; 35. OPC = Oligodendrocyte precursor cell. Data from brain_siletti_migration_candidates_v3.csv. Note: OPC and Committed OPC had 0 Strong candidates because their expected omega was already low; Microglia (10 Strong) and Oligodendrocyte (10 Strong) show the most validated migration patterns.</w:t>
      </w:r>
    </w:p>
    <w:p/>
    <w:p>
      <w:pPr>
        <w:spacing w:after="120" w:before="240"/>
        <w:jc w:val="left"/>
      </w:pPr>
      <w:r>
        <w:rPr>
          <w:rFonts w:ascii="Arial" w:hAnsi="Arial"/>
          <w:b/>
          <w:color w:val="000000"/>
          <w:sz w:val="18"/>
        </w:rPr>
        <w:t>Table S5. TCGA pan-cancer CKI omega summary (n=5 cancer types)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Cancer type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NN/TT ratio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omega_NN median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omega_TT median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omega_TN median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TN/NN ratio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/>
                <w:color w:val="000000"/>
                <w:sz w:val="14"/>
              </w:rPr>
              <w:t>n individuals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TCGA-LIHC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2.83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170.7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60.3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55.4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0.32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--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TCGA-KIRC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1.98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190.2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95.9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106.8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0.56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--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TCGA-LUAD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1.60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155.8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97.6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116.4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0.75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--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TCGA-LUSC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1.43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137.9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96.2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100.2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0.73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--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TCGA-BRCA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1.40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163.4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116.8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118.8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0.73</w:t>
            </w:r>
          </w:p>
        </w:tc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eastAsia="Arial" w:ascii="Arial" w:hAnsi="Arial"/>
                <w:rFonts w:ascii="Arial" w:hAnsi="Arial"/>
                <w:b w:val="0"/>
                <w:color w:val="000000"/>
                <w:sz w:val="14"/>
              </w:rPr>
              <w:t>--</w:t>
            </w:r>
          </w:p>
        </w:tc>
      </w:tr>
    </w:tbl>
    <w:p>
      <w:pPr>
        <w:spacing w:after="120"/>
        <w:jc w:val="left"/>
      </w:pPr>
      <w:r>
        <w:rPr>
          <w:rFonts w:ascii="Arial" w:hAnsi="Arial"/>
          <w:i/>
          <w:color w:val="000000"/>
          <w:sz w:val="14"/>
        </w:rPr>
        <w:t>NN/TT ratio = omega_NN_median / omega_TT_median. Higher ratio indicates greater normal-individual heterogeneity relative to tumor homogeneity. TN/NN ratio = omega_TN_median / omega_NN_median. omega: CKI omega (k_f/k_n). NN: normal-vs-normal. TT: tumor-vs-tumor. TN: tumor-vs-normal. Data from phase34_v2_summary.csv. BRCA: breast cancer; KIRC: kidney clear cell; LIHC: liver cancer; LUAD: lung adenocarcinoma; LUSC: lung squamous cell carcinoma.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