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6"/>
        <w:jc w:val="left"/>
      </w:pPr>
      <w:r>
        <w:rPr>
          <w:rFonts w:ascii="微软雅黑" w:hAnsi="微软雅黑"/>
          <w:b w:val="0"/>
          <w:color w:val="0288D1"/>
          <w:sz w:val="18"/>
        </w:rPr>
        <w:t>EXPERT PANEL REVIEW REPORT</w:t>
      </w:r>
    </w:p>
    <w:p>
      <w:pPr>
        <w:pStyle w:val="Heading1"/>
        <w:spacing w:line="336" w:lineRule="auto" w:after="264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CKI version5 投稿版</w:t>
        <w:br/>
      </w: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专家团综合审稿报告</w:t>
      </w:r>
    </w:p>
    <w:p>
      <w:pPr>
        <w:spacing w:after="700"/>
        <w:jc w:val="left"/>
      </w:pPr>
      <w:r>
        <w:rPr>
          <w:color w:val="616161"/>
          <w:sz w:val="28"/>
        </w:rPr>
        <w:t xml:space="preserve">Cell-state Kinetic Index · NAR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投稿前独立评审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color w:val="616161"/>
                <w:sz w:val="18"/>
              </w:rPr>
              <w:t>审稿对象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color w:val="212121"/>
                <w:sz w:val="18"/>
              </w:rPr>
              <w:t>version5/submitting_version.zip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（主稿件、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Cover Letter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5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主图、图文摘要、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Table 1-2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S1-S6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15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color w:val="616161"/>
                <w:sz w:val="18"/>
              </w:rPr>
              <w:t>审稿团队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color w:val="212121"/>
                <w:sz w:val="18"/>
              </w:rPr>
              <w:t>方法学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/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计算生物学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·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统计学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·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生物学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/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单细胞基因组学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·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写作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/NAR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期刊策略</w:t>
            </w:r>
          </w:p>
        </w:tc>
      </w:tr>
      <w:tr>
        <w:tc>
          <w:tcPr>
            <w:tcW w:type="dxa" w:w="15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color w:val="616161"/>
                <w:sz w:val="18"/>
              </w:rPr>
              <w:t>审稿日期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2026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年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8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24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日</w:t>
            </w:r>
          </w:p>
        </w:tc>
      </w:tr>
      <w:tr>
        <w:tc>
          <w:tcPr>
            <w:tcW w:type="dxa" w:w="15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color w:val="616161"/>
                <w:sz w:val="18"/>
              </w:rPr>
              <w:t>审稿模式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color w:val="212121"/>
                <w:sz w:val="18"/>
              </w:rPr>
              <w:t>纯审稿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——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未对任何原文件做实际改动</w:t>
            </w:r>
          </w:p>
        </w:tc>
      </w:tr>
      <w:tr>
        <w:tc>
          <w:tcPr>
            <w:tcW w:type="dxa" w:w="156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color w:val="616161"/>
                <w:sz w:val="18"/>
              </w:rPr>
              <w:t>总体结论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4/4 专家一致倾向大修（Major Revision）</w:t>
            </w:r>
          </w:p>
        </w:tc>
      </w:tr>
    </w:tbl>
    <w:p>
      <w:r/>
    </w:p>
    <w:p>
      <w:pPr>
        <w:spacing w:after="130"/>
      </w:pPr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目录</w:t>
      </w:r>
    </w:p>
    <w:p>
      <w:pPr>
        <w:pStyle w:val="ListNumber"/>
        <w:numPr>
          <w:ilvl w:val="0"/>
          <w:numId w:val="10"/>
        </w:numPr>
        <w:spacing w:before="640" w:after="224"/>
        <w:pBdr>
          <w:left w:val="single" w:sz="24" w:space="0" w:color="1565C0"/>
        </w:pBdr>
      </w:pPr>
      <w:r>
        <w:rPr>
          <w:rFonts w:ascii="微软雅黑" w:eastAsia="微软雅黑" w:hAnsi="微软雅黑" w:cs="微软雅黑" w:hint="eastAsia"/>
          <w:lang w:eastAsia="zh-CN"/>
        </w:rPr>
        <w:t>总体结论</w:t>
      </w:r>
    </w:p>
    <w:p>
      <w:pPr>
        <w:pStyle w:val="ListNumber"/>
        <w:numPr>
          <w:ilvl w:val="0"/>
          <w:numId w:val="10"/>
        </w:numPr>
      </w:pPr>
      <w:r>
        <w:t xml:space="preserve">Critical </w:t>
      </w:r>
      <w:r>
        <w:rPr>
          <w:rFonts w:ascii="微软雅黑" w:eastAsia="微软雅黑" w:hAnsi="微软雅黑" w:cs="微软雅黑" w:hint="eastAsia"/>
          <w:lang w:eastAsia="zh-CN"/>
        </w:rPr>
        <w:t>问题（</w:t>
      </w:r>
      <w:r>
        <w:t xml:space="preserve">7 </w:t>
      </w:r>
      <w:r>
        <w:rPr>
          <w:rFonts w:ascii="微软雅黑" w:eastAsia="微软雅黑" w:hAnsi="微软雅黑" w:cs="微软雅黑" w:hint="eastAsia"/>
          <w:lang w:eastAsia="zh-CN"/>
        </w:rPr>
        <w:t>项）</w:t>
      </w:r>
    </w:p>
    <w:p>
      <w:pPr>
        <w:pStyle w:val="ListNumber"/>
        <w:numPr>
          <w:ilvl w:val="0"/>
          <w:numId w:val="10"/>
        </w:numPr>
      </w:pPr>
      <w:r>
        <w:t xml:space="preserve">Major </w:t>
      </w:r>
      <w:r>
        <w:rPr>
          <w:rFonts w:ascii="微软雅黑" w:eastAsia="微软雅黑" w:hAnsi="微软雅黑" w:cs="微软雅黑" w:hint="eastAsia"/>
          <w:lang w:eastAsia="zh-CN"/>
        </w:rPr>
        <w:t>问题（</w:t>
      </w:r>
      <w:r>
        <w:t xml:space="preserve">12 </w:t>
      </w:r>
      <w:r>
        <w:rPr>
          <w:rFonts w:ascii="微软雅黑" w:eastAsia="微软雅黑" w:hAnsi="微软雅黑" w:cs="微软雅黑" w:hint="eastAsia"/>
          <w:lang w:eastAsia="zh-CN"/>
        </w:rPr>
        <w:t>项）</w:t>
      </w:r>
    </w:p>
    <w:p>
      <w:pPr>
        <w:pStyle w:val="ListNumber"/>
        <w:numPr>
          <w:ilvl w:val="0"/>
          <w:numId w:val="10"/>
        </w:numPr>
      </w:pPr>
      <w:r>
        <w:t xml:space="preserve">Minor </w:t>
      </w:r>
      <w:r>
        <w:rPr>
          <w:rFonts w:ascii="微软雅黑" w:eastAsia="微软雅黑" w:hAnsi="微软雅黑" w:cs="微软雅黑" w:hint="eastAsia"/>
          <w:lang w:eastAsia="zh-CN"/>
        </w:rPr>
        <w:t>问题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修订优先级建议</w:t>
      </w:r>
    </w:p>
    <w:p>
      <w:pPr>
        <w:pStyle w:val="ListNumber"/>
        <w:numPr>
          <w:ilvl w:val="0"/>
          <w:numId w:val="10"/>
        </w:numPr>
      </w:pPr>
      <w:r>
        <w:rPr>
          <w:rFonts w:ascii="微软雅黑" w:eastAsia="微软雅黑" w:hAnsi="微软雅黑" w:cs="微软雅黑" w:hint="eastAsia"/>
          <w:lang w:eastAsia="zh-CN"/>
        </w:rPr>
        <w:t>各专家总体评价摘录</w:t>
      </w:r>
    </w:p>
    <w:tbl>
      <w:tblPr>
        <w:tblW w:type="pct" w:w="5000"/>
        <w:tblLook w:firstColumn="1" w:firstRow="1" w:lastColumn="0" w:lastRow="0" w:noHBand="0" w:noVBand="1" w:val="04A0"/>
        <w:tblBorders>
          <w:left w:val="single" w:sz="24" w:space="0" w:color="1565C0"/>
        </w:tblBorders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rFonts w:ascii="微软雅黑" w:hAnsi="微软雅黑"/>
                <w:b/>
                <w:color w:val="1A237E"/>
                <w:sz w:val="26"/>
              </w:rPr>
              <w:t xml:space="preserve">执行摘要 </w:t>
            </w:r>
            <w:r>
              <w:rPr>
                <w:rFonts w:ascii="微软雅黑" w:hAnsi="微软雅黑"/>
                <w:b/>
                <w:i/>
                <w:color w:val="616161"/>
                <w:sz w:val="18"/>
              </w:rPr>
              <w:t>Executive Summary</w:t>
            </w:r>
            <w:r>
              <w:t xml:space="preserve"> 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40"/>
              <w:gridCol w:w="540"/>
              <w:gridCol w:w="540"/>
              <w:gridCol w:w="540"/>
            </w:tblGrid>
            <w:tr>
              <w:tc>
                <w:tcPr>
                  <w:tcW w:type="dxa" w:w="540"/>
                  <w:tcBorders>
                    <w:top w:val="single" w:sz="6.0" w:color="1565C0"/>
                    <w:right w:val="single" w:sz="6.0" w:color="1565C0"/>
                    <w:bottom w:val="single" w:sz="6.0" w:color="1565C0"/>
                    <w:left w:val="single" w:sz="6.0" w:color="1565C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</w:rPr>
                    <w:t>审稿专家</w:t>
                  </w:r>
                </w:p>
              </w:tc>
              <w:tc>
                <w:tcPr>
                  <w:tcW w:type="dxa" w:w="540"/>
                  <w:tcBorders>
                    <w:top w:val="single" w:sz="6.0" w:color="1565C0"/>
                    <w:right w:val="single" w:sz="6.0" w:color="1565C0"/>
                    <w:bottom w:val="single" w:sz="6.0" w:color="1565C0"/>
                    <w:left w:val="single" w:sz="6.0" w:color="1565C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</w:rPr>
                    <w:t>Critical</w:t>
                  </w:r>
                </w:p>
              </w:tc>
              <w:tc>
                <w:tcPr>
                  <w:tcW w:type="dxa" w:w="540"/>
                  <w:tcBorders>
                    <w:top w:val="single" w:sz="6.0" w:color="1565C0"/>
                    <w:right w:val="single" w:sz="6.0" w:color="1565C0"/>
                    <w:bottom w:val="single" w:sz="6.0" w:color="1565C0"/>
                    <w:left w:val="single" w:sz="6.0" w:color="1565C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</w:rPr>
                    <w:t>Major</w:t>
                  </w:r>
                </w:p>
              </w:tc>
              <w:tc>
                <w:tcPr>
                  <w:tcW w:type="dxa" w:w="540"/>
                  <w:tcBorders>
                    <w:top w:val="single" w:sz="6.0" w:color="1565C0"/>
                    <w:right w:val="single" w:sz="6.0" w:color="1565C0"/>
                    <w:bottom w:val="single" w:sz="6.0" w:color="1565C0"/>
                    <w:left w:val="single" w:sz="6.0" w:color="1565C0"/>
                  </w:tcBorders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</w:rPr>
                    <w:t>倾向结论</w:t>
                  </w:r>
                </w:p>
              </w:tc>
            </w:tr>
            <w:tr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rPr>
                      <w:color w:val="616161"/>
                    </w:rPr>
                    <w:t>方法学</w:t>
                  </w:r>
                  <w:r>
                    <w:rPr>
                      <w:color w:val="616161"/>
                    </w:rPr>
                    <w:t xml:space="preserve"> </w:t>
                  </w:r>
                  <w:r>
                    <w:rPr>
                      <w:color w:val="616161"/>
                    </w:rPr>
                    <w:t>/</w:t>
                  </w:r>
                  <w:r>
                    <w:rPr>
                      <w:color w:val="616161"/>
                    </w:rPr>
                    <w:t xml:space="preserve"> </w:t>
                  </w:r>
                  <w:r>
                    <w:rPr>
                      <w:color w:val="616161"/>
                    </w:rPr>
                    <w:t>计算生物学</w:t>
                  </w:r>
                </w:p>
              </w:tc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rPr>
                      <w:color w:val="C62828"/>
                    </w:rPr>
                    <w:t>2</w:t>
                  </w:r>
                </w:p>
              </w:tc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rPr>
                      <w:color w:val="C62828"/>
                    </w:rPr>
                    <w:t>5</w:t>
                  </w:r>
                </w:p>
              </w:tc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t>大修</w:t>
                  </w:r>
                </w:p>
              </w:tc>
            </w:tr>
            <w:tr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rPr>
                      <w:color w:val="616161"/>
                    </w:rPr>
                    <w:t>统计学</w:t>
                  </w:r>
                </w:p>
              </w:tc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rPr>
                      <w:color w:val="C62828"/>
                    </w:rPr>
                    <w:t>3</w:t>
                  </w:r>
                </w:p>
              </w:tc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rPr>
                      <w:color w:val="C62828"/>
                    </w:rPr>
                    <w:t>5</w:t>
                  </w:r>
                </w:p>
              </w:tc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t>大修</w:t>
                  </w:r>
                </w:p>
              </w:tc>
            </w:tr>
            <w:tr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rPr>
                      <w:color w:val="616161"/>
                    </w:rPr>
                    <w:t>生物学</w:t>
                  </w:r>
                  <w:r>
                    <w:rPr>
                      <w:color w:val="616161"/>
                    </w:rPr>
                    <w:t xml:space="preserve"> </w:t>
                  </w:r>
                  <w:r>
                    <w:rPr>
                      <w:color w:val="616161"/>
                    </w:rPr>
                    <w:t>/</w:t>
                  </w:r>
                  <w:r>
                    <w:rPr>
                      <w:color w:val="616161"/>
                    </w:rPr>
                    <w:t xml:space="preserve"> </w:t>
                  </w:r>
                  <w:r>
                    <w:rPr>
                      <w:color w:val="616161"/>
                    </w:rPr>
                    <w:t>单细胞基因组学</w:t>
                  </w:r>
                </w:p>
              </w:tc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rPr>
                      <w:color w:val="C62828"/>
                    </w:rPr>
                    <w:t>2</w:t>
                  </w:r>
                </w:p>
              </w:tc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rPr>
                      <w:color w:val="C62828"/>
                    </w:rPr>
                    <w:t>5</w:t>
                  </w:r>
                </w:p>
              </w:tc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t>大修后可能接收</w:t>
                  </w:r>
                </w:p>
              </w:tc>
            </w:tr>
            <w:tr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rPr>
                      <w:color w:val="616161"/>
                    </w:rPr>
                    <w:t>写作</w:t>
                  </w:r>
                  <w:r>
                    <w:rPr>
                      <w:color w:val="616161"/>
                    </w:rPr>
                    <w:t xml:space="preserve"> </w:t>
                  </w:r>
                  <w:r>
                    <w:rPr>
                      <w:color w:val="616161"/>
                    </w:rPr>
                    <w:t xml:space="preserve">/NAR </w:t>
                  </w:r>
                  <w:r>
                    <w:rPr>
                      <w:color w:val="616161"/>
                    </w:rPr>
                    <w:t xml:space="preserve"> </w:t>
                  </w:r>
                  <w:r>
                    <w:rPr>
                      <w:color w:val="616161"/>
                    </w:rPr>
                    <w:t>期刊策略</w:t>
                  </w:r>
                </w:p>
              </w:tc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rPr>
                      <w:color w:val="C62828"/>
                    </w:rPr>
                    <w:t>3</w:t>
                  </w:r>
                </w:p>
              </w:tc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rPr>
                      <w:color w:val="C62828"/>
                    </w:rPr>
                    <w:t>6</w:t>
                  </w:r>
                </w:p>
              </w:tc>
              <w:tc>
                <w:tcPr>
                  <w:tcW w:type="dxa" w:w="540"/>
                  <w:tcBorders>
                    <w:top w:val="single" w:sz="6.0" w:color="E0E0E0"/>
                    <w:right w:val="single" w:sz="6.0" w:color="E0E0E0"/>
                    <w:bottom w:val="single" w:sz="6.0" w:color="E0E0E0"/>
                    <w:left w:val="single" w:sz="6.0" w:color="E0E0E0"/>
                  </w:tcBorders>
                </w:tcPr>
                <w:p>
                  <w:pPr>
                    <w:jc w:val="center"/>
                  </w:pPr>
                  <w:r>
                    <w:t>修复合规后可投</w:t>
                  </w:r>
                </w:p>
              </w:tc>
            </w:tr>
          </w:tbl>
          <w:p>
            <w:pPr>
              <w:spacing w:line="240" w:lineRule="auto" w:before="60" w:after="60"/>
            </w:pPr>
          </w:p>
          <w:p>
            <w:pPr>
              <w:spacing w:line="240" w:lineRule="auto" w:before="60" w:after="60"/>
            </w:pPr>
            <w:r>
              <w:t xml:space="preserve"> </w:t>
            </w:r>
          </w:p>
          <w:p>
            <w:pPr>
              <w:spacing w:line="240" w:lineRule="auto" w:before="60" w:after="60"/>
            </w:pPr>
            <w:r>
              <w:t xml:space="preserve">CKI </w:t>
            </w:r>
            <w:r>
              <w:t>概念具有原创性，跨数据集负相关发现（</w:t>
            </w:r>
            <w:r>
              <w:t xml:space="preserve">Spearman r = −0.57 </w:t>
            </w:r>
            <w:r>
              <w:t>至</w:t>
            </w:r>
            <w:r>
              <w:t xml:space="preserve"> −0.38</w:t>
            </w:r>
            <w:r>
              <w:t>，均</w:t>
            </w:r>
            <w:r>
              <w:t xml:space="preserve"> P &lt; 0.001</w:t>
            </w:r>
            <w:r>
              <w:t>）证明其捕捉到与现有度量互补的信息维度，代码开源完备。但脑区分析多重比较失效、</w:t>
            </w:r>
            <w:r>
              <w:t xml:space="preserve">per-pair </w:t>
            </w:r>
            <w:r>
              <w:t>基因选择循环依赖、校准基线统计基础不足三项结构性统计问题被三位专家独立指出，投稿包卫生与声明不符问题可能直接导致编辑部退回。汇总共</w:t>
            </w:r>
            <w:r>
              <w:t xml:space="preserve"> </w:t>
            </w:r>
            <w:r>
              <w:rPr>
                <w:b/>
                <w:color w:val="C62828"/>
              </w:rPr>
              <w:t>7 项 Critical、12 项 Major</w:t>
            </w:r>
            <w:r>
              <w:t xml:space="preserve"> </w:t>
            </w:r>
            <w:r>
              <w:t>与若干</w:t>
            </w:r>
            <w:r>
              <w:t xml:space="preserve"> Minor </w:t>
            </w:r>
            <w:r>
              <w:t>问题。当前状态不建议直接投出。</w:t>
            </w:r>
          </w:p>
        </w:tc>
        <w:tc>
          <w:tcPr>
            <w:tcW w:type="dxa" w:w="2160"/>
            <w:shd w:val="clear" w:color="auto" w:fill="1565C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  <w:jc w:val="center"/>
            </w:pPr>
          </w:p>
        </w:tc>
        <w:tc>
          <w:tcPr>
            <w:tcW w:type="dxa" w:w="2160"/>
            <w:shd w:val="clear" w:color="auto" w:fill="1565C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  <w:jc w:val="center"/>
            </w:pPr>
          </w:p>
        </w:tc>
        <w:tc>
          <w:tcPr>
            <w:tcW w:type="dxa" w:w="2160"/>
            <w:shd w:val="clear" w:color="auto" w:fill="1565C0"/>
            <w:vAlign w:val="center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  <w:jc w:val="center"/>
            </w:pPr>
          </w:p>
        </w:tc>
      </w:tr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审稿专家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Major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倾向结论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Calibri" w:hAnsi="Calibri" w:eastAsia="Calibri"/>
                <w:color w:val="616161"/>
                <w:sz w:val="18"/>
              </w:rPr>
              <w:t>方法学</w:t>
            </w:r>
            <w:r>
              <w:rPr>
                <w:rFonts w:ascii="Calibri" w:hAnsi="Calibri" w:eastAsia="Calibri"/>
                <w:color w:val="616161"/>
                <w:sz w:val="18"/>
              </w:rPr>
              <w:t xml:space="preserve"> </w:t>
            </w:r>
            <w:r>
              <w:rPr>
                <w:rFonts w:ascii="Calibri" w:hAnsi="Calibri" w:eastAsia="Calibri"/>
                <w:color w:val="616161"/>
                <w:sz w:val="18"/>
              </w:rPr>
              <w:t>/</w:t>
            </w:r>
            <w:r>
              <w:rPr>
                <w:rFonts w:ascii="Calibri" w:hAnsi="Calibri" w:eastAsia="Calibri"/>
                <w:color w:val="616161"/>
                <w:sz w:val="18"/>
              </w:rPr>
              <w:t xml:space="preserve"> </w:t>
            </w:r>
            <w:r>
              <w:rPr>
                <w:rFonts w:ascii="Calibri" w:hAnsi="Calibri" w:eastAsia="Calibri"/>
                <w:color w:val="616161"/>
                <w:sz w:val="18"/>
              </w:rPr>
              <w:t>计算生物学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65" w:after="65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>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65" w:after="65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>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Calibri" w:hAnsi="Calibri" w:eastAsia="Calibri"/>
                <w:sz w:val="20"/>
              </w:rPr>
              <w:t>大修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Calibri" w:hAnsi="Calibri" w:eastAsia="Calibri"/>
                <w:color w:val="616161"/>
                <w:sz w:val="18"/>
              </w:rPr>
              <w:t>统计学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65" w:after="65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>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65" w:after="65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>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Calibri" w:hAnsi="Calibri" w:eastAsia="Calibri"/>
                <w:sz w:val="20"/>
              </w:rPr>
              <w:t>大修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Calibri" w:hAnsi="Calibri" w:eastAsia="Calibri"/>
                <w:color w:val="616161"/>
                <w:sz w:val="18"/>
              </w:rPr>
              <w:t>生物学</w:t>
            </w:r>
            <w:r>
              <w:rPr>
                <w:rFonts w:ascii="Calibri" w:hAnsi="Calibri" w:eastAsia="Calibri"/>
                <w:color w:val="616161"/>
                <w:sz w:val="18"/>
              </w:rPr>
              <w:t xml:space="preserve"> </w:t>
            </w:r>
            <w:r>
              <w:rPr>
                <w:rFonts w:ascii="Calibri" w:hAnsi="Calibri" w:eastAsia="Calibri"/>
                <w:color w:val="616161"/>
                <w:sz w:val="18"/>
              </w:rPr>
              <w:t>/</w:t>
            </w:r>
            <w:r>
              <w:rPr>
                <w:rFonts w:ascii="Calibri" w:hAnsi="Calibri" w:eastAsia="Calibri"/>
                <w:color w:val="616161"/>
                <w:sz w:val="18"/>
              </w:rPr>
              <w:t xml:space="preserve"> </w:t>
            </w:r>
            <w:r>
              <w:rPr>
                <w:rFonts w:ascii="Calibri" w:hAnsi="Calibri" w:eastAsia="Calibri"/>
                <w:color w:val="616161"/>
                <w:sz w:val="18"/>
              </w:rPr>
              <w:t>单细胞基因组学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65" w:after="65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>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65" w:after="65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>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Calibri" w:hAnsi="Calibri" w:eastAsia="Calibri"/>
                <w:sz w:val="20"/>
              </w:rPr>
              <w:t>大修后可能接收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45" w:after="45"/>
            </w:pPr>
            <w:r>
              <w:rPr>
                <w:rFonts w:ascii="Calibri" w:hAnsi="Calibri" w:eastAsia="Calibri"/>
                <w:color w:val="616161"/>
                <w:sz w:val="18"/>
              </w:rPr>
              <w:t>写作</w:t>
            </w:r>
            <w:r>
              <w:rPr>
                <w:rFonts w:ascii="Calibri" w:hAnsi="Calibri" w:eastAsia="Calibri"/>
                <w:color w:val="616161"/>
                <w:sz w:val="18"/>
              </w:rPr>
              <w:t xml:space="preserve"> </w:t>
            </w:r>
            <w:r>
              <w:rPr>
                <w:rFonts w:ascii="Calibri" w:hAnsi="Calibri" w:eastAsia="Calibri"/>
                <w:color w:val="616161"/>
                <w:sz w:val="18"/>
              </w:rPr>
              <w:t xml:space="preserve">/NAR </w:t>
            </w:r>
            <w:r>
              <w:rPr>
                <w:rFonts w:ascii="Calibri" w:hAnsi="Calibri" w:eastAsia="Calibri"/>
                <w:color w:val="616161"/>
                <w:sz w:val="18"/>
              </w:rPr>
              <w:t xml:space="preserve"> </w:t>
            </w:r>
            <w:r>
              <w:rPr>
                <w:rFonts w:ascii="Calibri" w:hAnsi="Calibri" w:eastAsia="Calibri"/>
                <w:color w:val="616161"/>
                <w:sz w:val="18"/>
              </w:rPr>
              <w:t>期刊策略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65" w:after="65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>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65" w:after="65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>6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Calibri" w:hAnsi="Calibri" w:eastAsia="Calibri"/>
                <w:sz w:val="20"/>
              </w:rPr>
              <w:t>修复合规后可投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 w:hint="eastAsia"/>
          <w:b/>
          <w:color w:val="1A237E"/>
          <w:sz w:val="32"/>
          <w:lang w:eastAsia="zh-CN"/>
        </w:rPr>
        <w:t>一、总体结论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四位专家一致倾向 </w:t>
      </w:r>
      <w:r>
        <w:rPr>
          <w:rFonts w:ascii="微软雅黑" w:eastAsia="微软雅黑" w:hAnsi="微软雅黑" w:cs="微软雅黑" w:hint="eastAsia"/>
          <w:b/>
          <w:lang w:eastAsia="zh-CN"/>
        </w:rPr>
        <w:t>大修（Major Revision）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  <w:jc w:val="both"/>
      </w:pPr>
      <w:r>
        <w:t>CKI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Cell-state Kinetic Index</w:t>
      </w:r>
      <w:r>
        <w:rPr>
          <w:rFonts w:ascii="微软雅黑" w:eastAsia="微软雅黑" w:hAnsi="微软雅黑" w:cs="微软雅黑" w:hint="eastAsia"/>
          <w:lang w:eastAsia="zh-CN"/>
        </w:rPr>
        <w:t>）概念具有原创性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以管家基因表达散度作为内源基线、将功能散度归一化的思路方向合理；跨数据集负相关发现（</w:t>
      </w:r>
      <w:r>
        <w:t xml:space="preserve">CKI ω </w:t>
      </w:r>
      <w:r>
        <w:rPr>
          <w:rFonts w:ascii="微软雅黑" w:eastAsia="微软雅黑" w:hAnsi="微软雅黑" w:cs="微软雅黑" w:hint="eastAsia"/>
          <w:lang w:eastAsia="zh-CN"/>
        </w:rPr>
        <w:t>与四种标准距离度量的</w:t>
      </w:r>
      <w:r>
        <w:t xml:space="preserve"> Spearman r = −0.57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−0.38</w:t>
      </w:r>
      <w:r>
        <w:rPr>
          <w:rFonts w:ascii="微软雅黑" w:eastAsia="微软雅黑" w:hAnsi="微软雅黑" w:cs="微软雅黑" w:hint="eastAsia"/>
          <w:lang w:eastAsia="zh-CN"/>
        </w:rPr>
        <w:t>，均</w:t>
      </w:r>
      <w:r>
        <w:t xml:space="preserve"> P &lt; 0.001</w:t>
      </w:r>
      <w:r>
        <w:rPr>
          <w:rFonts w:ascii="微软雅黑" w:eastAsia="微软雅黑" w:hAnsi="微软雅黑" w:cs="微软雅黑" w:hint="eastAsia"/>
          <w:lang w:eastAsia="zh-CN"/>
        </w:rPr>
        <w:t>）表明其确实捕捉到与现有度量互补的信息维度；</w:t>
      </w:r>
      <w:r>
        <w:t xml:space="preserve">Python </w:t>
      </w:r>
      <w:r>
        <w:rPr>
          <w:rFonts w:ascii="微软雅黑" w:eastAsia="微软雅黑" w:hAnsi="微软雅黑" w:cs="微软雅黑" w:hint="eastAsia"/>
          <w:lang w:eastAsia="zh-CN"/>
        </w:rPr>
        <w:t>包开源（</w:t>
      </w:r>
      <w:r>
        <w:t>GitHub + Zenodo DOI</w:t>
      </w:r>
      <w:r>
        <w:rPr>
          <w:rFonts w:ascii="微软雅黑" w:eastAsia="微软雅黑" w:hAnsi="微软雅黑" w:cs="微软雅黑" w:hint="eastAsia"/>
          <w:lang w:eastAsia="zh-CN"/>
        </w:rPr>
        <w:t>）完备。</w:t>
      </w:r>
    </w:p>
    <w:p>
      <w:pPr>
        <w:spacing w:after="180"/>
        <w:jc w:val="both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但统计推断链与投稿合规各存在多处实质缺陷：脑区分析的多重比较失效、</w:t>
      </w:r>
      <w:r>
        <w:t xml:space="preserve">per-pair </w:t>
      </w:r>
      <w:r>
        <w:rPr>
          <w:rFonts w:ascii="微软雅黑" w:eastAsia="微软雅黑" w:hAnsi="微软雅黑" w:cs="微软雅黑" w:hint="eastAsia"/>
          <w:lang w:eastAsia="zh-CN"/>
        </w:rPr>
        <w:t>基因选择的循环依赖、校准基线的统计基础不足三项统计结构问题被三位专家独立指出；投稿包卫生与声明不符问题则可能直接导致编辑部退回。</w:t>
      </w:r>
      <w:r>
        <w:rPr>
          <w:rFonts w:ascii="微软雅黑" w:eastAsia="微软雅黑" w:hAnsi="微软雅黑" w:cs="微软雅黑" w:hint="eastAsia"/>
          <w:b/>
          <w:lang w:eastAsia="zh-CN"/>
        </w:rPr>
        <w:t>当前状态不建议直接投出。</w:t>
      </w:r>
    </w:p>
    <w:p>
      <w:pPr>
        <w:pStyle w:val="Heading2"/>
        <w:spacing w:before="640" w:after="224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32"/>
          <w:lang w:eastAsia="zh-CN"/>
        </w:rPr>
        <w:t>二、Critical 问题（7 项，足以导致拒稿或编辑部退回）</w:t>
      </w:r>
    </w:p>
    <w:p>
      <w:pPr>
        <w:pStyle w:val="Heading3"/>
        <w:spacing w:before="364" w:after="130"/>
      </w:pPr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C1. 脑区分析多重比较失效（统计/方法学/生物三方共识）</w:t>
      </w:r>
    </w:p>
    <w:p>
      <w:pPr>
        <w:spacing w:after="180"/>
        <w:jc w:val="both"/>
      </w:pPr>
      <w:r>
        <w:t xml:space="preserve">31,764 </w:t>
      </w:r>
      <w:r>
        <w:rPr>
          <w:rFonts w:ascii="微软雅黑" w:eastAsia="微软雅黑" w:hAnsi="微软雅黑" w:cs="微软雅黑" w:hint="eastAsia"/>
          <w:lang w:eastAsia="zh-CN"/>
        </w:rPr>
        <w:t>次比较、</w:t>
      </w:r>
      <w:r>
        <w:rPr>
          <w:b/>
          <w:color w:val="C62828"/>
        </w:rPr>
        <w:t>36.3%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11,541 </w:t>
      </w:r>
      <w:r>
        <w:rPr>
          <w:rFonts w:ascii="微软雅黑" w:eastAsia="微软雅黑" w:hAnsi="微软雅黑" w:cs="微软雅黑" w:hint="eastAsia"/>
          <w:lang w:eastAsia="zh-CN"/>
        </w:rPr>
        <w:t>个）触及置换检验</w:t>
      </w:r>
      <w:r>
        <w:t xml:space="preserve"> P </w:t>
      </w:r>
      <w:r>
        <w:rPr>
          <w:rFonts w:ascii="微软雅黑" w:eastAsia="微软雅黑" w:hAnsi="微软雅黑" w:cs="微软雅黑" w:hint="eastAsia"/>
          <w:lang w:eastAsia="zh-CN"/>
        </w:rPr>
        <w:t>值地板</w:t>
      </w:r>
      <w:r>
        <w:t xml:space="preserve"> 9.99×10⁻⁵</w:t>
      </w:r>
      <w:r>
        <w:rPr>
          <w:rFonts w:ascii="微软雅黑" w:eastAsia="微软雅黑" w:hAnsi="微软雅黑" w:cs="微软雅黑" w:hint="eastAsia"/>
          <w:lang w:eastAsia="zh-CN"/>
        </w:rPr>
        <w:t>，无法进行</w:t>
      </w:r>
      <w:r>
        <w:t xml:space="preserve"> Bonferroni/BH </w:t>
      </w:r>
      <w:r>
        <w:rPr>
          <w:rFonts w:ascii="微软雅黑" w:eastAsia="微软雅黑" w:hAnsi="微软雅黑" w:cs="微软雅黑" w:hint="eastAsia"/>
          <w:lang w:eastAsia="zh-CN"/>
        </w:rPr>
        <w:t>校正；</w:t>
      </w:r>
      <w:r>
        <w:t xml:space="preserve">16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 xml:space="preserve"> "Strong signals" </w:t>
      </w:r>
      <w:r>
        <w:rPr>
          <w:rFonts w:ascii="微软雅黑" w:eastAsia="微软雅黑" w:hAnsi="微软雅黑" w:cs="微软雅黑" w:hint="eastAsia"/>
          <w:lang w:eastAsia="zh-CN"/>
        </w:rPr>
        <w:t>全部触底，且候选先经阈值筛选（</w:t>
      </w:r>
      <w:r>
        <w:t>residual &lt; 0.3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ω &lt; 15</w:t>
      </w:r>
      <w:r>
        <w:rPr>
          <w:rFonts w:ascii="微软雅黑" w:eastAsia="微软雅黑" w:hAnsi="微软雅黑" w:cs="微软雅黑" w:hint="eastAsia"/>
          <w:lang w:eastAsia="zh-CN"/>
        </w:rPr>
        <w:t>）再行置换验证，属双重筛选，实际发现率不可评估。摘要将</w:t>
      </w:r>
      <w:r>
        <w:t xml:space="preserve"> "two with permutation support" </w:t>
      </w:r>
      <w:r>
        <w:rPr>
          <w:rFonts w:ascii="微软雅黑" w:eastAsia="微软雅黑" w:hAnsi="微软雅黑" w:cs="微软雅黑" w:hint="eastAsia"/>
          <w:lang w:eastAsia="zh-CN"/>
        </w:rPr>
        <w:t>作为核心成果宣传，与正文自认的</w:t>
      </w:r>
      <w:r>
        <w:t xml:space="preserve"> "descriptive evidence" </w:t>
      </w:r>
      <w:r>
        <w:rPr>
          <w:rFonts w:ascii="微软雅黑" w:eastAsia="微软雅黑" w:hAnsi="微软雅黑" w:cs="微软雅黑" w:hint="eastAsia"/>
          <w:lang w:eastAsia="zh-CN"/>
        </w:rPr>
        <w:t>相矛盾。建议采用更严格的</w:t>
      </w:r>
      <w:r>
        <w:t xml:space="preserve"> null </w:t>
      </w:r>
      <w:r>
        <w:rPr>
          <w:rFonts w:ascii="微软雅黑" w:eastAsia="微软雅黑" w:hAnsi="微软雅黑" w:cs="微软雅黑" w:hint="eastAsia"/>
          <w:lang w:eastAsia="zh-CN"/>
        </w:rPr>
        <w:t>模型（如</w:t>
      </w:r>
      <w:r>
        <w:t xml:space="preserve"> block-shuffle </w:t>
      </w:r>
      <w:r>
        <w:rPr>
          <w:rFonts w:ascii="微软雅黑" w:eastAsia="微软雅黑" w:hAnsi="微软雅黑" w:cs="微软雅黑" w:hint="eastAsia"/>
          <w:lang w:eastAsia="zh-CN"/>
        </w:rPr>
        <w:t>保持</w:t>
      </w:r>
      <w:r>
        <w:t xml:space="preserve"> cell-type × region </w:t>
      </w:r>
      <w:r>
        <w:rPr>
          <w:rFonts w:ascii="微软雅黑" w:eastAsia="微软雅黑" w:hAnsi="微软雅黑" w:cs="微软雅黑" w:hint="eastAsia"/>
          <w:lang w:eastAsia="zh-CN"/>
        </w:rPr>
        <w:t>联合分布）重做，或将脑分析明确降级为假设生成（</w:t>
      </w:r>
      <w:r>
        <w:t>hypothesis-generating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spacing w:before="364" w:after="130"/>
      </w:pPr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C2. per-pair k_f 基因选择的循环依赖（data snooping）</w:t>
      </w:r>
    </w:p>
    <w:p>
      <w:pPr>
        <w:spacing w:after="180"/>
        <w:jc w:val="both"/>
      </w:pPr>
      <w:r>
        <w:t xml:space="preserve">k_f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top-200 </w:t>
      </w:r>
      <w:r>
        <w:rPr>
          <w:rFonts w:ascii="微软雅黑" w:eastAsia="微软雅黑" w:hAnsi="微软雅黑" w:cs="微软雅黑" w:hint="eastAsia"/>
          <w:lang w:eastAsia="zh-CN"/>
        </w:rPr>
        <w:t>基因按两组均值差绝对值</w:t>
      </w:r>
      <w:r>
        <w:t xml:space="preserve"> |μ_A − μ_B| </w:t>
      </w:r>
      <w:r>
        <w:rPr>
          <w:rFonts w:ascii="微软雅黑" w:eastAsia="微软雅黑" w:hAnsi="微软雅黑" w:cs="微软雅黑" w:hint="eastAsia"/>
          <w:lang w:eastAsia="zh-CN"/>
        </w:rPr>
        <w:t>选出</w:t>
      </w:r>
      <w:r>
        <w:t>——"</w:t>
      </w:r>
      <w:r>
        <w:rPr>
          <w:rFonts w:ascii="微软雅黑" w:eastAsia="微软雅黑" w:hAnsi="微软雅黑" w:cs="微软雅黑" w:hint="eastAsia"/>
          <w:lang w:eastAsia="zh-CN"/>
        </w:rPr>
        <w:t>功能基因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恰恰是两组间差异最大的基因，任意两群比较都会内生地放大</w:t>
      </w:r>
      <w:r>
        <w:t xml:space="preserve"> k_f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ω</w:t>
      </w:r>
      <w:r>
        <w:rPr>
          <w:rFonts w:ascii="微软雅黑" w:eastAsia="微软雅黑" w:hAnsi="微软雅黑" w:cs="微软雅黑" w:hint="eastAsia"/>
          <w:lang w:eastAsia="zh-CN"/>
        </w:rPr>
        <w:t>。作者虽在</w:t>
      </w:r>
      <w:r>
        <w:t xml:space="preserve"> Limitations </w:t>
      </w:r>
      <w:r>
        <w:rPr>
          <w:rFonts w:ascii="微软雅黑" w:eastAsia="微软雅黑" w:hAnsi="微软雅黑" w:cs="微软雅黑" w:hint="eastAsia"/>
          <w:lang w:eastAsia="zh-CN"/>
        </w:rPr>
        <w:t>承认其为</w:t>
      </w:r>
      <w:r>
        <w:t xml:space="preserve"> "upper bound"</w:t>
      </w:r>
      <w:r>
        <w:rPr>
          <w:rFonts w:ascii="微软雅黑" w:eastAsia="微软雅黑" w:hAnsi="微软雅黑" w:cs="微软雅黑" w:hint="eastAsia"/>
          <w:lang w:eastAsia="zh-CN"/>
        </w:rPr>
        <w:t>，但主结果中绝对</w:t>
      </w:r>
      <w:r>
        <w:t xml:space="preserve"> ω </w:t>
      </w:r>
      <w:r>
        <w:rPr>
          <w:rFonts w:ascii="微软雅黑" w:eastAsia="微软雅黑" w:hAnsi="微软雅黑" w:cs="微软雅黑" w:hint="eastAsia"/>
          <w:lang w:eastAsia="zh-CN"/>
        </w:rPr>
        <w:t>数值的解读全部受此动摇，且不可跨数据集比较。</w:t>
      </w:r>
    </w:p>
    <w:p>
      <w:pPr>
        <w:pStyle w:val="Heading3"/>
        <w:spacing w:before="364" w:after="130"/>
      </w:pPr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C3. 校准基线 ω = 6.67 统计基础不足且被跨方案滥用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校准仅基于 </w:t>
      </w:r>
      <w:r>
        <w:rPr>
          <w:b/>
          <w:color w:val="C62828"/>
        </w:rPr>
        <w:t>n = 6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个对照，</w:t>
      </w:r>
      <w:r>
        <w:t>CV ≈ 52%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bootstrap 95% CI [4.12, 9.33]</w:t>
      </w:r>
      <w:r>
        <w:rPr>
          <w:rFonts w:ascii="微软雅黑" w:eastAsia="微软雅黑" w:hAnsi="微软雅黑" w:cs="微软雅黑" w:hint="eastAsia"/>
          <w:lang w:eastAsia="zh-CN"/>
        </w:rPr>
        <w:t>（上下界相差逾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倍）；基线来自小鼠</w:t>
      </w:r>
      <w:r>
        <w:t xml:space="preserve"> global HVG-2000 </w:t>
      </w:r>
      <w:r>
        <w:rPr>
          <w:rFonts w:ascii="微软雅黑" w:eastAsia="微软雅黑" w:hAnsi="微软雅黑" w:cs="微软雅黑" w:hint="eastAsia"/>
          <w:lang w:eastAsia="zh-CN"/>
        </w:rPr>
        <w:t>方案，却被外推到人类</w:t>
      </w:r>
      <w:r>
        <w:t>/TCGA/</w:t>
      </w:r>
      <w:r>
        <w:rPr>
          <w:rFonts w:ascii="微软雅黑" w:eastAsia="微软雅黑" w:hAnsi="微软雅黑" w:cs="微软雅黑" w:hint="eastAsia"/>
          <w:lang w:eastAsia="zh-CN"/>
        </w:rPr>
        <w:t>脑分析的</w:t>
      </w:r>
      <w:r>
        <w:t xml:space="preserve"> per-pair DE-200 </w:t>
      </w:r>
      <w:r>
        <w:rPr>
          <w:rFonts w:ascii="微软雅黑" w:eastAsia="微软雅黑" w:hAnsi="微软雅黑" w:cs="微软雅黑" w:hint="eastAsia"/>
          <w:lang w:eastAsia="zh-CN"/>
        </w:rPr>
        <w:t>方案；</w:t>
      </w:r>
      <w:r>
        <w:t xml:space="preserve">TCGA </w:t>
      </w:r>
      <w:r>
        <w:rPr>
          <w:rFonts w:ascii="微软雅黑" w:eastAsia="微软雅黑" w:hAnsi="微软雅黑" w:cs="微软雅黑" w:hint="eastAsia"/>
          <w:lang w:eastAsia="zh-CN"/>
        </w:rPr>
        <w:t>中</w:t>
      </w:r>
      <w:r>
        <w:t xml:space="preserve"> 5/5 </w:t>
      </w:r>
      <w:r>
        <w:rPr>
          <w:rFonts w:ascii="微软雅黑" w:eastAsia="微软雅黑" w:hAnsi="微软雅黑" w:cs="微软雅黑" w:hint="eastAsia"/>
          <w:lang w:eastAsia="zh-CN"/>
        </w:rPr>
        <w:t>癌症类型的</w:t>
      </w:r>
      <w:r>
        <w:t xml:space="preserve"> k_n </w:t>
      </w:r>
      <w:r>
        <w:rPr>
          <w:rFonts w:ascii="微软雅黑" w:eastAsia="微软雅黑" w:hAnsi="微软雅黑" w:cs="微软雅黑" w:hint="eastAsia"/>
          <w:lang w:eastAsia="zh-CN"/>
        </w:rPr>
        <w:t>全部触及地板值</w:t>
      </w:r>
      <w:r>
        <w:t xml:space="preserve"> 10⁻⁴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ω </w:t>
      </w:r>
      <w:r>
        <w:rPr>
          <w:rFonts w:ascii="微软雅黑" w:eastAsia="微软雅黑" w:hAnsi="微软雅黑" w:cs="微软雅黑" w:hint="eastAsia"/>
          <w:lang w:eastAsia="zh-CN"/>
        </w:rPr>
        <w:t>退化为</w:t>
      </w:r>
      <w:r>
        <w:t xml:space="preserve"> k_f </w:t>
      </w:r>
      <w:r>
        <w:rPr>
          <w:rFonts w:ascii="微软雅黑" w:eastAsia="微软雅黑" w:hAnsi="微软雅黑" w:cs="微软雅黑" w:hint="eastAsia"/>
          <w:lang w:eastAsia="zh-CN"/>
        </w:rPr>
        <w:t>的缩放，却仍与单细胞数据</w:t>
      </w:r>
      <w:r>
        <w:t xml:space="preserve"> ω </w:t>
      </w:r>
      <w:r>
        <w:rPr>
          <w:rFonts w:ascii="微软雅黑" w:eastAsia="微软雅黑" w:hAnsi="微软雅黑" w:cs="微软雅黑" w:hint="eastAsia"/>
          <w:lang w:eastAsia="zh-CN"/>
        </w:rPr>
        <w:t>同尺度比较。建议改用</w:t>
      </w:r>
      <w:r>
        <w:t xml:space="preserve"> rank-based </w:t>
      </w:r>
      <w:r>
        <w:rPr>
          <w:rFonts w:ascii="微软雅黑" w:eastAsia="微软雅黑" w:hAnsi="微软雅黑" w:cs="微软雅黑" w:hint="eastAsia"/>
          <w:lang w:eastAsia="zh-CN"/>
        </w:rPr>
        <w:t>解释贯穿全文，并补充各数据集独立的</w:t>
      </w:r>
      <w:r>
        <w:t xml:space="preserve"> split-half </w:t>
      </w:r>
      <w:r>
        <w:rPr>
          <w:rFonts w:ascii="微软雅黑" w:eastAsia="微软雅黑" w:hAnsi="微软雅黑" w:cs="微软雅黑" w:hint="eastAsia"/>
          <w:lang w:eastAsia="zh-CN"/>
        </w:rPr>
        <w:t>校准。</w:t>
      </w:r>
    </w:p>
    <w:p>
      <w:pPr>
        <w:pStyle w:val="Heading3"/>
        <w:spacing w:before="364" w:after="130"/>
      </w:pPr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C4. 管家基因"中性基线"生物学假设未论证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管家基因受肿瘤代谢重编程（</w:t>
      </w:r>
      <w:r>
        <w:t xml:space="preserve">Warburg </w:t>
      </w:r>
      <w:r>
        <w:rPr>
          <w:rFonts w:ascii="微软雅黑" w:eastAsia="微软雅黑" w:hAnsi="微软雅黑" w:cs="微软雅黑" w:hint="eastAsia"/>
          <w:lang w:eastAsia="zh-CN"/>
        </w:rPr>
        <w:t>效应）、增殖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细胞周期状态、缺氧与炎症微环境等系统调控，在肿瘤中可能失调；</w:t>
      </w:r>
      <w:r>
        <w:t xml:space="preserve">HRT Atlas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低变异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是跨组织平均结果，不代表特定肿瘤或细胞状态下稳定。</w:t>
      </w:r>
      <w:r>
        <w:t xml:space="preserve">TCGA </w:t>
      </w:r>
      <w:r>
        <w:rPr>
          <w:rFonts w:ascii="微软雅黑" w:eastAsia="微软雅黑" w:hAnsi="微软雅黑" w:cs="微软雅黑" w:hint="eastAsia"/>
          <w:lang w:eastAsia="zh-CN"/>
        </w:rPr>
        <w:t>分析未做任何</w:t>
      </w:r>
      <w:r>
        <w:t xml:space="preserve"> HK </w:t>
      </w:r>
      <w:r>
        <w:rPr>
          <w:rFonts w:ascii="微软雅黑" w:eastAsia="微软雅黑" w:hAnsi="微软雅黑" w:cs="微软雅黑" w:hint="eastAsia"/>
          <w:lang w:eastAsia="zh-CN"/>
        </w:rPr>
        <w:t>稳定性诊断或癌症特异性敏感性检验（</w:t>
      </w:r>
      <w:r>
        <w:t xml:space="preserve">Figure S3 </w:t>
      </w:r>
      <w:r>
        <w:rPr>
          <w:rFonts w:ascii="微软雅黑" w:eastAsia="微软雅黑" w:hAnsi="微软雅黑" w:cs="微软雅黑" w:hint="eastAsia"/>
          <w:lang w:eastAsia="zh-CN"/>
        </w:rPr>
        <w:t>的替代集为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低变异基因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，概念上并非管家基因）。</w:t>
      </w:r>
    </w:p>
    <w:p>
      <w:pPr>
        <w:pStyle w:val="Heading3"/>
        <w:spacing w:before="364" w:after="130"/>
      </w:pPr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C5. 投稿包卫生问题（已核实）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投稿包内存在：</w:t>
      </w:r>
      <w:r>
        <w:t xml:space="preserve">Word </w:t>
      </w:r>
      <w:r>
        <w:rPr>
          <w:rFonts w:ascii="微软雅黑" w:eastAsia="微软雅黑" w:hAnsi="微软雅黑" w:cs="微软雅黑" w:hint="eastAsia"/>
          <w:lang w:eastAsia="zh-CN"/>
        </w:rPr>
        <w:t>临时锁文件</w:t>
      </w:r>
      <w:r>
        <w:t xml:space="preserve"> </w:t>
      </w:r>
      <w:r>
        <w:rPr>
          <w:b/>
          <w:color w:val="C62828"/>
        </w:rPr>
        <w:t>~$ble1-2.docx</w:t>
      </w:r>
      <w:r>
        <w:rPr>
          <w:rFonts w:ascii="微软雅黑" w:eastAsia="微软雅黑" w:hAnsi="微软雅黑" w:cs="微软雅黑" w:hint="eastAsia"/>
          <w:lang w:eastAsia="zh-CN"/>
        </w:rPr>
        <w:t>（表明打包时</w:t>
      </w:r>
      <w:r>
        <w:t xml:space="preserve"> Table1-2.docx </w:t>
      </w:r>
      <w:r>
        <w:rPr>
          <w:rFonts w:ascii="微软雅黑" w:eastAsia="微软雅黑" w:hAnsi="微软雅黑" w:cs="微软雅黑" w:hint="eastAsia"/>
          <w:lang w:eastAsia="zh-CN"/>
        </w:rPr>
        <w:t>仍处于打开状态）、</w:t>
      </w:r>
      <w:r>
        <w:t xml:space="preserve">.DS_Store </w:t>
      </w:r>
      <w:r>
        <w:rPr>
          <w:rFonts w:ascii="微软雅黑" w:eastAsia="微软雅黑" w:hAnsi="微软雅黑" w:cs="微软雅黑" w:hint="eastAsia"/>
          <w:lang w:eastAsia="zh-CN"/>
        </w:rPr>
        <w:t>文件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个、</w:t>
      </w:r>
      <w:r>
        <w:t xml:space="preserve">__MACOSX/ </w:t>
      </w:r>
      <w:r>
        <w:rPr>
          <w:rFonts w:ascii="微软雅黑" w:eastAsia="微软雅黑" w:hAnsi="微软雅黑" w:cs="微软雅黑" w:hint="eastAsia"/>
          <w:lang w:eastAsia="zh-CN"/>
        </w:rPr>
        <w:t>元数据目录。编辑部对此类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脏包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通常直接要求清理重传，且影响职业化印象。</w:t>
      </w:r>
    </w:p>
    <w:p>
      <w:pPr>
        <w:pStyle w:val="Heading3"/>
        <w:spacing w:before="364" w:after="130"/>
      </w:pPr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C6. Supplementary Data 声明与实际文件不符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正文声明</w:t>
      </w:r>
      <w:r>
        <w:t xml:space="preserve"> "All analysis notebooks and processed data matrices are included in the Supplementary Data"</w:t>
      </w:r>
      <w:r>
        <w:rPr>
          <w:rFonts w:ascii="微软雅黑" w:eastAsia="微软雅黑" w:hAnsi="微软雅黑" w:cs="微软雅黑" w:hint="eastAsia"/>
          <w:lang w:eastAsia="zh-CN"/>
        </w:rPr>
        <w:t>，但投稿包内除</w:t>
      </w:r>
      <w:r>
        <w:t xml:space="preserve"> S1-S6 </w:t>
      </w:r>
      <w:r>
        <w:rPr>
          <w:rFonts w:ascii="微软雅黑" w:eastAsia="微软雅黑" w:hAnsi="微软雅黑" w:cs="微软雅黑" w:hint="eastAsia"/>
          <w:lang w:eastAsia="zh-CN"/>
        </w:rPr>
        <w:t>六个</w:t>
      </w:r>
      <w:r>
        <w:t xml:space="preserve"> PDF </w:t>
      </w:r>
      <w:r>
        <w:rPr>
          <w:rFonts w:ascii="微软雅黑" w:eastAsia="微软雅黑" w:hAnsi="微软雅黑" w:cs="微软雅黑" w:hint="eastAsia"/>
          <w:lang w:eastAsia="zh-CN"/>
        </w:rPr>
        <w:t>外无任何代码或数据文件。须补齐</w:t>
      </w:r>
      <w:r>
        <w:t xml:space="preserve"> Supp Data </w:t>
      </w:r>
      <w:r>
        <w:rPr>
          <w:rFonts w:ascii="微软雅黑" w:eastAsia="微软雅黑" w:hAnsi="微软雅黑" w:cs="微软雅黑" w:hint="eastAsia"/>
          <w:lang w:eastAsia="zh-CN"/>
        </w:rPr>
        <w:t>文件，或将该声明改为</w:t>
      </w:r>
      <w:r>
        <w:t xml:space="preserve"> "available at GitHub/Zenodo"</w:t>
      </w:r>
      <w:r>
        <w:rPr>
          <w:rFonts w:ascii="微软雅黑" w:eastAsia="微软雅黑" w:hAnsi="微软雅黑" w:cs="微软雅黑" w:hint="eastAsia"/>
          <w:lang w:eastAsia="zh-CN"/>
        </w:rPr>
        <w:t>，否则审稿人核对即发现不符。</w:t>
      </w:r>
    </w:p>
    <w:p>
      <w:pPr>
        <w:pStyle w:val="Heading3"/>
        <w:spacing w:before="364" w:after="130"/>
      </w:pPr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C7. Figure 2 图例与正文类别定义直接矛盾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图例定义</w:t>
      </w:r>
      <w:r>
        <w:t xml:space="preserve"> C/S/D/X </w:t>
      </w:r>
      <w:r>
        <w:rPr>
          <w:rFonts w:ascii="微软雅黑" w:eastAsia="微软雅黑" w:hAnsi="微软雅黑" w:cs="微软雅黑" w:hint="eastAsia"/>
          <w:lang w:eastAsia="zh-CN"/>
        </w:rPr>
        <w:t>四类，其中</w:t>
      </w:r>
      <w:r>
        <w:t xml:space="preserve"> S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t xml:space="preserve"> "same sub-organ"</w:t>
      </w:r>
      <w:r>
        <w:rPr>
          <w:rFonts w:ascii="微软雅黑" w:eastAsia="微软雅黑" w:hAnsi="微软雅黑" w:cs="微软雅黑" w:hint="eastAsia"/>
          <w:lang w:eastAsia="zh-CN"/>
        </w:rPr>
        <w:t>；正文却定义</w:t>
      </w:r>
      <w:r>
        <w:t xml:space="preserve"> S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t xml:space="preserve"> "same cell type across different organs"</w:t>
      </w:r>
      <w:r>
        <w:rPr>
          <w:rFonts w:ascii="微软雅黑" w:eastAsia="微软雅黑" w:hAnsi="微软雅黑" w:cs="微软雅黑" w:hint="eastAsia"/>
          <w:lang w:eastAsia="zh-CN"/>
        </w:rPr>
        <w:t>，且</w:t>
      </w:r>
      <w:r>
        <w:t xml:space="preserve"> C </w:t>
      </w:r>
      <w:r>
        <w:rPr>
          <w:rFonts w:ascii="微软雅黑" w:eastAsia="微软雅黑" w:hAnsi="微软雅黑" w:cs="微软雅黑" w:hint="eastAsia"/>
          <w:lang w:eastAsia="zh-CN"/>
        </w:rPr>
        <w:t>类别在正文从未出现。数据内部一致性问题，审稿人必抓。</w:t>
      </w:r>
    </w:p>
    <w:p>
      <w:pPr>
        <w:pStyle w:val="Heading2"/>
        <w:spacing w:before="640" w:after="224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32"/>
          <w:lang w:eastAsia="zh-CN"/>
        </w:rPr>
        <w:t>三、Major 问题（12 项，需大修）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  <w:jc w:val="center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  <w:jc w:val="center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  <w:jc w:val="center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  <w:jc w:val="center"/>
            </w:pPr>
            <w:r>
              <w:rPr>
                <w:rFonts w:ascii="Calibri" w:hAnsi="Calibri" w:eastAsia="Calibri"/>
                <w:color w:val="616161"/>
                <w:sz w:val="18"/>
              </w:rPr>
              <w:t>M1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5" w:after="65"/>
              <w:jc w:val="center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Ka/Ks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类比无数学对等性（无共享速率过程，比率失去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"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消去中性过程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"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语义），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ω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符号与群体遗传学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dN/dS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专有符号冲突；摘要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/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标题仍以其为中心叙事，存在过度宣称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5" w:after="65"/>
              <w:jc w:val="center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>方法学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  <w:jc w:val="center"/>
            </w:pPr>
            <w:r>
              <w:rPr>
                <w:rFonts w:ascii="Calibri" w:hAnsi="Calibri" w:eastAsia="Calibri"/>
                <w:color w:val="616161"/>
                <w:sz w:val="18"/>
              </w:rPr>
              <w:t>M2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5" w:after="65"/>
              <w:jc w:val="center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softmax(log1p)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在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1130-2000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维向量上饱和，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k_n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极易触底（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TCGA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即此机制）；未论证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softmax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与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L1-normalize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的方案差异及温度选择依据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5" w:after="65"/>
              <w:jc w:val="center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>方法学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  <w:jc w:val="center"/>
            </w:pPr>
            <w:r>
              <w:rPr>
                <w:rFonts w:ascii="Calibri" w:hAnsi="Calibri" w:eastAsia="Calibri"/>
                <w:color w:val="616161"/>
                <w:sz w:val="18"/>
              </w:rPr>
              <w:t>M3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5" w:after="65"/>
              <w:jc w:val="center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k_n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方案跨数据集不一致：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Tabula Sapiens/TCGA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用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global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共享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HK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集合，脑分析用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per-pair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；同类任务（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cross-organ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，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n=59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）双重标准，使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ω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不可直接比较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5" w:after="65"/>
              <w:jc w:val="center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>方法学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  <w:jc w:val="center"/>
            </w:pPr>
            <w:r>
              <w:rPr>
                <w:rFonts w:ascii="Calibri" w:hAnsi="Calibri" w:eastAsia="Calibri"/>
                <w:color w:val="616161"/>
                <w:sz w:val="18"/>
              </w:rPr>
              <w:t>M4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5" w:after="65"/>
              <w:jc w:val="center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>缺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ground-truth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正对照：无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spike-in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模拟、无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TOST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 xml:space="preserve"> </w:t>
            </w:r>
            <w:r>
              <w:rPr>
                <w:rFonts w:ascii="Calibri" w:hAnsi="Calibri" w:eastAsia="Calibri"/>
                <w:b/>
                <w:color w:val="C62828"/>
                <w:sz w:val="26"/>
              </w:rPr>
              <w:t>等价检验，全部结论依赖事后生物学回溯解释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65" w:after="65"/>
              <w:jc w:val="center"/>
            </w:pPr>
            <w:r>
              <w:rPr>
                <w:rFonts w:ascii="Calibri" w:hAnsi="Calibri" w:eastAsia="Calibri"/>
                <w:b/>
                <w:color w:val="C62828"/>
                <w:sz w:val="26"/>
              </w:rPr>
              <w:t>方法学</w:t>
            </w:r>
          </w:p>
        </w:tc>
      </w:tr>
      <w:tr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rPr>
                <w:color w:val="1565C0"/>
              </w:rPr>
              <w:t>M5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 xml:space="preserve">ω </w:t>
            </w:r>
            <w:r>
              <w:t xml:space="preserve"> </w:t>
            </w:r>
            <w:r>
              <w:t>右偏分布（</w:t>
            </w:r>
            <w:r>
              <w:t xml:space="preserve"> </w:t>
            </w:r>
            <w:r>
              <w:t>skewness 0.73-2.22</w:t>
            </w:r>
            <w:r>
              <w:t xml:space="preserve"> </w:t>
            </w:r>
            <w:r>
              <w:t>）却用算术均值建模乘法残差模型，未采用</w:t>
            </w:r>
            <w:r>
              <w:t xml:space="preserve"> </w:t>
            </w:r>
            <w:r>
              <w:t xml:space="preserve"> log-ω </w:t>
            </w:r>
            <w:r>
              <w:t xml:space="preserve"> </w:t>
            </w:r>
            <w:r>
              <w:t>或中位数等稳健量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>统计</w:t>
            </w:r>
          </w:p>
        </w:tc>
      </w:tr>
      <w:tr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rPr>
                <w:color w:val="1565C0"/>
              </w:rPr>
              <w:t>M6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>效应量与置信区间缺失：主发现负相关无</w:t>
            </w:r>
            <w:r>
              <w:t xml:space="preserve"> </w:t>
            </w:r>
            <w:r>
              <w:t xml:space="preserve"> CI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Table 2 </w:t>
            </w:r>
            <w:r>
              <w:t xml:space="preserve"> </w:t>
            </w:r>
            <w:r>
              <w:t>中</w:t>
            </w:r>
            <w:r>
              <w:t xml:space="preserve"> </w:t>
            </w:r>
            <w:r>
              <w:t xml:space="preserve"> 10/17 </w:t>
            </w:r>
            <w:r>
              <w:t xml:space="preserve"> </w:t>
            </w:r>
            <w:r>
              <w:t>细胞类型仅</w:t>
            </w:r>
            <w:r>
              <w:t xml:space="preserve"> </w:t>
            </w:r>
            <w:r>
              <w:t xml:space="preserve"> n = 1 </w:t>
            </w:r>
            <w:r>
              <w:t xml:space="preserve"> </w:t>
            </w:r>
            <w:r>
              <w:t>仍参与排序并获生物学解释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>统计</w:t>
            </w:r>
          </w:p>
        </w:tc>
      </w:tr>
      <w:tr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rPr>
                <w:color w:val="1565C0"/>
              </w:rPr>
              <w:t>M7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>分类器</w:t>
            </w:r>
            <w:r>
              <w:t xml:space="preserve"> </w:t>
            </w:r>
            <w:r>
              <w:t xml:space="preserve"> AUC </w:t>
            </w:r>
            <w:r>
              <w:t xml:space="preserve"> </w:t>
            </w:r>
            <w:r>
              <w:t>评估不透明：未说明交叉验证、</w:t>
            </w:r>
            <w:r>
              <w:t xml:space="preserve"> </w:t>
            </w:r>
            <w:r>
              <w:t xml:space="preserve">102 </w:t>
            </w:r>
            <w:r>
              <w:t xml:space="preserve"> </w:t>
            </w:r>
            <w:r>
              <w:t>类转二分类方式；</w:t>
            </w:r>
            <w:r>
              <w:t xml:space="preserve"> </w:t>
            </w:r>
            <w:r>
              <w:t xml:space="preserve">5,151 </w:t>
            </w:r>
            <w:r>
              <w:t xml:space="preserve"> </w:t>
            </w:r>
            <w:r>
              <w:t>个</w:t>
            </w:r>
            <w:r>
              <w:t xml:space="preserve"> </w:t>
            </w:r>
            <w:r>
              <w:t xml:space="preserve"> pair </w:t>
            </w:r>
            <w:r>
              <w:t xml:space="preserve"> </w:t>
            </w:r>
            <w:r>
              <w:t>非独立（同细胞类型重复出现）导致</w:t>
            </w:r>
            <w:r>
              <w:t xml:space="preserve"> </w:t>
            </w:r>
            <w:r>
              <w:t xml:space="preserve"> AUC </w:t>
            </w:r>
            <w:r>
              <w:t xml:space="preserve"> </w:t>
            </w:r>
            <w:r>
              <w:t>高估；</w:t>
            </w:r>
            <w:r>
              <w:t xml:space="preserve"> </w:t>
            </w:r>
            <w:r>
              <w:t xml:space="preserve">CKI 0.716 vs Spearman 0.690 </w:t>
            </w:r>
            <w:r>
              <w:t xml:space="preserve"> </w:t>
            </w:r>
            <w:r>
              <w:t>差异无</w:t>
            </w:r>
            <w:r>
              <w:t xml:space="preserve"> </w:t>
            </w:r>
            <w:r>
              <w:t xml:space="preserve"> DeLong/bootstrap </w:t>
            </w:r>
            <w:r>
              <w:t xml:space="preserve"> </w:t>
            </w:r>
            <w:r>
              <w:t>检验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>统计</w:t>
            </w:r>
          </w:p>
        </w:tc>
      </w:tr>
      <w:tr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rPr>
                <w:color w:val="1565C0"/>
              </w:rPr>
              <w:t>M8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>因果语言过度：</w:t>
            </w:r>
            <w:r>
              <w:t xml:space="preserve"> </w:t>
            </w:r>
            <w:r>
              <w:t xml:space="preserve">"migration candidates" </w:t>
            </w:r>
            <w:r>
              <w:t xml:space="preserve"> </w:t>
            </w:r>
            <w:r>
              <w:t>实为发育起源信号（</w:t>
            </w:r>
            <w:r>
              <w:t xml:space="preserve"> </w:t>
            </w:r>
            <w:r>
              <w:t xml:space="preserve">OPC </w:t>
            </w:r>
            <w:r>
              <w:t xml:space="preserve"> </w:t>
            </w:r>
            <w:r>
              <w:t>零</w:t>
            </w:r>
            <w:r>
              <w:t xml:space="preserve"> </w:t>
            </w:r>
            <w:r>
              <w:t xml:space="preserve"> Strong signals </w:t>
            </w:r>
            <w:r>
              <w:t xml:space="preserve"> </w:t>
            </w:r>
            <w:r>
              <w:t>恰说明低</w:t>
            </w:r>
            <w:r>
              <w:t xml:space="preserve"> </w:t>
            </w:r>
            <w:r>
              <w:t xml:space="preserve"> ω </w:t>
            </w:r>
            <w:r>
              <w:t xml:space="preserve"> </w:t>
            </w:r>
            <w:r>
              <w:t>应解释为共享发育程序）；</w:t>
            </w:r>
            <w:r>
              <w:t xml:space="preserve"> </w:t>
            </w:r>
            <w:r>
              <w:t xml:space="preserve">"transcriptional convergence" </w:t>
            </w:r>
            <w:r>
              <w:t xml:space="preserve"> </w:t>
            </w:r>
            <w:r>
              <w:t>与自认</w:t>
            </w:r>
            <w:r>
              <w:t xml:space="preserve"> </w:t>
            </w:r>
            <w:r>
              <w:t xml:space="preserve"> exploratory </w:t>
            </w:r>
            <w:r>
              <w:t xml:space="preserve"> </w:t>
            </w:r>
            <w:r>
              <w:t>矛盾；应全文统一为关联性表述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>统计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生物</w:t>
            </w:r>
          </w:p>
        </w:tc>
      </w:tr>
      <w:tr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rPr>
                <w:color w:val="1565C0"/>
              </w:rPr>
              <w:t>M9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 xml:space="preserve">TCGA </w:t>
            </w:r>
            <w:r>
              <w:t xml:space="preserve"> </w:t>
            </w:r>
            <w:r>
              <w:t>肿瘤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转录收敛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结论受</w:t>
            </w:r>
            <w:r>
              <w:t xml:space="preserve"> </w:t>
            </w:r>
            <w:r>
              <w:t xml:space="preserve"> bulk RNA-seq </w:t>
            </w:r>
            <w:r>
              <w:t xml:space="preserve"> </w:t>
            </w:r>
            <w:r>
              <w:t>细胞组成伪影严重混淆（纯度、基质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免疫浸润未校正），应降级为待</w:t>
            </w:r>
            <w:r>
              <w:t xml:space="preserve"> </w:t>
            </w:r>
            <w:r>
              <w:t xml:space="preserve"> scRNA-seq </w:t>
            </w:r>
            <w:r>
              <w:t xml:space="preserve"> </w:t>
            </w:r>
            <w:r>
              <w:t>验证的探索性假说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>生物</w:t>
            </w:r>
          </w:p>
        </w:tc>
      </w:tr>
      <w:tr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rPr>
                <w:color w:val="1565C0"/>
              </w:rPr>
              <w:t>M10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>缺与领域现有方法比较（</w:t>
            </w:r>
            <w:r>
              <w:t xml:space="preserve"> </w:t>
            </w:r>
            <w:r>
              <w:t>inferCNV/CopyKAT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CytoTRACE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Palantir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Shannon/Simpson </w:t>
            </w:r>
            <w:r>
              <w:t xml:space="preserve"> </w:t>
            </w:r>
            <w:r>
              <w:t>异质性指数等），无法证明增量价值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>生物</w:t>
            </w:r>
          </w:p>
        </w:tc>
      </w:tr>
      <w:tr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rPr>
                <w:color w:val="1565C0"/>
              </w:rPr>
              <w:t>M11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 xml:space="preserve">Limitations </w:t>
            </w:r>
            <w:r>
              <w:t xml:space="preserve"> </w:t>
            </w:r>
            <w:r>
              <w:t>共</w:t>
            </w:r>
            <w:r>
              <w:t xml:space="preserve"> </w:t>
            </w:r>
            <w:r>
              <w:t xml:space="preserve"> 21 </w:t>
            </w:r>
            <w:r>
              <w:t xml:space="preserve"> </w:t>
            </w:r>
            <w:r>
              <w:t>条且编号错乱（</w:t>
            </w:r>
            <w:r>
              <w:t xml:space="preserve"> </w:t>
            </w:r>
            <w:r>
              <w:t xml:space="preserve">First/Second/Third </w:t>
            </w:r>
            <w:r>
              <w:t xml:space="preserve"> </w:t>
            </w:r>
            <w:r>
              <w:t>后直接跳</w:t>
            </w:r>
            <w:r>
              <w:t xml:space="preserve"> </w:t>
            </w:r>
            <w:r>
              <w:t xml:space="preserve"> Sixteenth</w:t>
            </w:r>
            <w:r>
              <w:t xml:space="preserve"> </w:t>
            </w:r>
            <w:r>
              <w:t>），防御过度、拖累可读性；</w:t>
            </w:r>
            <w:r>
              <w:t xml:space="preserve"> </w:t>
            </w:r>
            <w:r>
              <w:t xml:space="preserve">Methods </w:t>
            </w:r>
            <w:r>
              <w:t xml:space="preserve"> </w:t>
            </w:r>
            <w:r>
              <w:t>中置换检验程序与</w:t>
            </w:r>
            <w:r>
              <w:t xml:space="preserve"> </w:t>
            </w:r>
            <w:r>
              <w:t xml:space="preserve"> P </w:t>
            </w:r>
            <w:r>
              <w:t xml:space="preserve"> </w:t>
            </w:r>
            <w:r>
              <w:t>值公式在约三处近乎逐字重复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>写作</w:t>
            </w:r>
          </w:p>
        </w:tc>
      </w:tr>
      <w:tr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rPr>
                <w:color w:val="1565C0"/>
              </w:rPr>
              <w:t>M12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>引用与声明问题：</w:t>
            </w:r>
            <w:r>
              <w:t xml:space="preserve"> </w:t>
            </w:r>
            <w:r>
              <w:t xml:space="preserve">BH </w:t>
            </w:r>
            <w:r>
              <w:t xml:space="preserve"> </w:t>
            </w:r>
            <w:r>
              <w:t>校正误引</w:t>
            </w:r>
            <w:r>
              <w:t xml:space="preserve"> </w:t>
            </w:r>
            <w:r>
              <w:t xml:space="preserve"> Storey &amp; Tibshirani 2003</w:t>
            </w:r>
            <w:r>
              <w:t xml:space="preserve"> </w:t>
            </w:r>
            <w:r>
              <w:t>（正确出处为</w:t>
            </w:r>
            <w:r>
              <w:t xml:space="preserve"> </w:t>
            </w:r>
            <w:r>
              <w:t xml:space="preserve"> Benjamini &amp; Hochberg 1995</w:t>
            </w:r>
            <w:r>
              <w:t xml:space="preserve"> </w:t>
            </w:r>
            <w:r>
              <w:t>）；稿件正文缺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使用声明（</w:t>
            </w:r>
            <w:r>
              <w:t xml:space="preserve"> </w:t>
            </w:r>
            <w:r>
              <w:t xml:space="preserve">Cover letter </w:t>
            </w:r>
            <w:r>
              <w:t xml:space="preserve"> </w:t>
            </w:r>
            <w:r>
              <w:t>已有，</w:t>
            </w:r>
            <w:r>
              <w:t xml:space="preserve"> </w:t>
            </w:r>
            <w:r>
              <w:t xml:space="preserve">OUP/NAR </w:t>
            </w:r>
            <w:r>
              <w:t xml:space="preserve"> </w:t>
            </w:r>
            <w:r>
              <w:t>要求稿件内披露）；</w:t>
            </w:r>
            <w:r>
              <w:t xml:space="preserve"> </w:t>
            </w:r>
            <w:r>
              <w:t xml:space="preserve">Figure 1C </w:t>
            </w:r>
            <w:r>
              <w:t xml:space="preserve"> </w:t>
            </w:r>
            <w:r>
              <w:t>标注</w:t>
            </w:r>
            <w:r>
              <w:t xml:space="preserve"> </w:t>
            </w:r>
            <w:r>
              <w:t xml:space="preserve"> "Bootstrap…mouse pilot"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"simulated" </w:t>
            </w:r>
            <w:r>
              <w:t xml:space="preserve"> </w:t>
            </w:r>
            <w:r>
              <w:t>自相矛盾；脑细胞类别数</w:t>
            </w:r>
            <w:r>
              <w:t xml:space="preserve"> </w:t>
            </w:r>
            <w:r>
              <w:t xml:space="preserve"> 9/10 </w:t>
            </w:r>
            <w:r>
              <w:t xml:space="preserve"> </w:t>
            </w:r>
            <w:r>
              <w:t>前后不一</w:t>
            </w:r>
          </w:p>
        </w:tc>
        <w:tc>
          <w:tcPr>
            <w:tcW w:type="dxa" w:w="288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r>
              <w:t>写作</w:t>
            </w:r>
          </w:p>
        </w:tc>
      </w:tr>
    </w:tbl>
    <w:p>
      <w:pPr>
        <w:pStyle w:val="Heading2"/>
        <w:spacing w:before="640" w:after="224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32"/>
          <w:lang w:eastAsia="zh-CN"/>
        </w:rPr>
        <w:t>四、Minor 问题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小样本分层结果进入正文（</w:t>
      </w:r>
      <w:r>
        <w:t>Edmondson G4 n = 11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PAM50 Normal-like n = 7</w:t>
      </w:r>
      <w:r>
        <w:rPr>
          <w:rFonts w:ascii="微软雅黑" w:eastAsia="微软雅黑" w:hAnsi="微软雅黑" w:cs="微软雅黑" w:hint="eastAsia"/>
          <w:lang w:eastAsia="zh-CN"/>
        </w:rPr>
        <w:t>、配对肿瘤</w:t>
      </w:r>
      <w:r>
        <w:t>-</w:t>
      </w:r>
      <w:r>
        <w:rPr>
          <w:rFonts w:ascii="微软雅黑" w:eastAsia="微软雅黑" w:hAnsi="微软雅黑" w:cs="微软雅黑" w:hint="eastAsia"/>
          <w:lang w:eastAsia="zh-CN"/>
        </w:rPr>
        <w:t>正常</w:t>
      </w:r>
      <w:r>
        <w:t xml:space="preserve"> n = 2-5 </w:t>
      </w:r>
      <w:r>
        <w:rPr>
          <w:rFonts w:ascii="微软雅黑" w:eastAsia="微软雅黑" w:hAnsi="微软雅黑" w:cs="微软雅黑" w:hint="eastAsia"/>
          <w:lang w:eastAsia="zh-CN"/>
        </w:rPr>
        <w:t>无</w:t>
      </w:r>
      <w:r>
        <w:t xml:space="preserve"> P </w:t>
      </w:r>
      <w:r>
        <w:rPr>
          <w:rFonts w:ascii="微软雅黑" w:eastAsia="微软雅黑" w:hAnsi="微软雅黑" w:cs="微软雅黑" w:hint="eastAsia"/>
          <w:lang w:eastAsia="zh-CN"/>
        </w:rPr>
        <w:t>值），建议移入补充材料。</w:t>
      </w:r>
    </w:p>
    <w:p>
      <w:pPr>
        <w:pStyle w:val="ListBullet"/>
        <w:spacing w:after="96"/>
        <w:jc w:val="both"/>
      </w:pPr>
      <w:r>
        <w:t xml:space="preserve">TCGA </w:t>
      </w:r>
      <w:r>
        <w:rPr>
          <w:rFonts w:ascii="微软雅黑" w:eastAsia="微软雅黑" w:hAnsi="微软雅黑" w:cs="微软雅黑" w:hint="eastAsia"/>
          <w:lang w:eastAsia="zh-CN"/>
        </w:rPr>
        <w:t>三个临床检验未做多重比较校正；</w:t>
      </w:r>
      <w:r>
        <w:t xml:space="preserve">LUAD mutation P = 0.017 </w:t>
      </w:r>
      <w:r>
        <w:rPr>
          <w:rFonts w:ascii="微软雅黑" w:eastAsia="微软雅黑" w:hAnsi="微软雅黑" w:cs="微软雅黑" w:hint="eastAsia"/>
          <w:lang w:eastAsia="zh-CN"/>
        </w:rPr>
        <w:t>经</w:t>
      </w:r>
      <w:r>
        <w:t xml:space="preserve"> BH </w:t>
      </w:r>
      <w:r>
        <w:rPr>
          <w:rFonts w:ascii="微软雅黑" w:eastAsia="微软雅黑" w:hAnsi="微软雅黑" w:cs="微软雅黑" w:hint="eastAsia"/>
          <w:lang w:eastAsia="zh-CN"/>
        </w:rPr>
        <w:t>校正后可能不显著（约</w:t>
      </w:r>
      <w:r>
        <w:t xml:space="preserve"> 0.051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维度不变性模拟（</w:t>
      </w:r>
      <w:r>
        <w:t>Dirichlet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>2,000 trials</w:t>
      </w:r>
      <w:r>
        <w:rPr>
          <w:rFonts w:ascii="微软雅黑" w:eastAsia="微软雅黑" w:hAnsi="微软雅黑" w:cs="微软雅黑" w:hint="eastAsia"/>
          <w:lang w:eastAsia="zh-CN"/>
        </w:rPr>
        <w:t>）仅模拟均匀随机向量，未模拟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基因选择偏置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，而该偏置恰是</w:t>
      </w:r>
      <w:r>
        <w:t xml:space="preserve"> ω = 6.67 </w:t>
      </w:r>
      <w:r>
        <w:rPr>
          <w:rFonts w:ascii="微软雅黑" w:eastAsia="微软雅黑" w:hAnsi="微软雅黑" w:cs="微软雅黑" w:hint="eastAsia"/>
          <w:lang w:eastAsia="zh-CN"/>
        </w:rPr>
        <w:t>膨胀的来源，论证不完整。</w:t>
      </w:r>
    </w:p>
    <w:p>
      <w:pPr>
        <w:pStyle w:val="ListBullet"/>
        <w:spacing w:after="96"/>
        <w:jc w:val="both"/>
      </w:pPr>
      <w:r>
        <w:t xml:space="preserve">Figure 5D </w:t>
      </w:r>
      <w:r>
        <w:rPr>
          <w:rFonts w:ascii="微软雅黑" w:eastAsia="微软雅黑" w:hAnsi="微软雅黑" w:cs="微软雅黑" w:hint="eastAsia"/>
          <w:lang w:eastAsia="zh-CN"/>
        </w:rPr>
        <w:t>横轴区域缩写标签严重重叠，难以阅读。</w:t>
      </w:r>
    </w:p>
    <w:p>
      <w:pPr>
        <w:pStyle w:val="ListBullet"/>
        <w:spacing w:after="96"/>
        <w:jc w:val="both"/>
      </w:pPr>
      <w:r>
        <w:t xml:space="preserve">Strong/Moderate/Weak </w:t>
      </w:r>
      <w:r>
        <w:rPr>
          <w:rFonts w:ascii="微软雅黑" w:eastAsia="微软雅黑" w:hAnsi="微软雅黑" w:cs="微软雅黑" w:hint="eastAsia"/>
          <w:lang w:eastAsia="zh-CN"/>
        </w:rPr>
        <w:t>分层阈值（</w:t>
      </w:r>
      <w:r>
        <w:t xml:space="preserve">residual 0.3/0.5/0.75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ω </w:t>
      </w:r>
      <w:r>
        <w:rPr>
          <w:rFonts w:ascii="微软雅黑" w:eastAsia="微软雅黑" w:hAnsi="微软雅黑" w:cs="微软雅黑" w:hint="eastAsia"/>
          <w:lang w:eastAsia="zh-CN"/>
        </w:rPr>
        <w:t>上限</w:t>
      </w:r>
      <w:r>
        <w:t xml:space="preserve"> 15/25/35</w:t>
      </w:r>
      <w:r>
        <w:rPr>
          <w:rFonts w:ascii="微软雅黑" w:eastAsia="微软雅黑" w:hAnsi="微软雅黑" w:cs="微软雅黑" w:hint="eastAsia"/>
          <w:lang w:eastAsia="zh-CN"/>
        </w:rPr>
        <w:t>）缺乏推导或验证，显得武断。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神经元因亚型未解析被整体排除，限制脑区分析对谷氨酸</w:t>
      </w:r>
      <w:r>
        <w:t xml:space="preserve">/GABA </w:t>
      </w:r>
      <w:r>
        <w:rPr>
          <w:rFonts w:ascii="微软雅黑" w:eastAsia="微软雅黑" w:hAnsi="微软雅黑" w:cs="微软雅黑" w:hint="eastAsia"/>
          <w:lang w:eastAsia="zh-CN"/>
        </w:rPr>
        <w:t>神经元区域特化的外推。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文件命名三套规则混用（</w:t>
      </w:r>
      <w:r>
        <w:t>figure1-5.pdf / Supplementary_Figure_S1-S6.pdf / Table1-2.docx</w:t>
      </w:r>
      <w:r>
        <w:rPr>
          <w:rFonts w:ascii="微软雅黑" w:eastAsia="微软雅黑" w:hAnsi="微软雅黑" w:cs="微软雅黑" w:hint="eastAsia"/>
          <w:lang w:eastAsia="zh-CN"/>
        </w:rPr>
        <w:t>），建议统一前缀。</w:t>
      </w:r>
    </w:p>
    <w:p>
      <w:pPr>
        <w:pStyle w:val="ListBullet"/>
        <w:spacing w:after="96"/>
        <w:jc w:val="both"/>
      </w:pPr>
      <w:r>
        <w:t xml:space="preserve">GitHub </w:t>
      </w:r>
      <w:r>
        <w:rPr>
          <w:rFonts w:ascii="微软雅黑" w:eastAsia="微软雅黑" w:hAnsi="微软雅黑" w:cs="微软雅黑" w:hint="eastAsia"/>
          <w:lang w:eastAsia="zh-CN"/>
        </w:rPr>
        <w:t>仓库名</w:t>
      </w:r>
      <w:r>
        <w:t xml:space="preserve"> "CKI-cell-type-identification" </w:t>
      </w:r>
      <w:r>
        <w:rPr>
          <w:rFonts w:ascii="微软雅黑" w:eastAsia="微软雅黑" w:hAnsi="微软雅黑" w:cs="微软雅黑" w:hint="eastAsia"/>
          <w:lang w:eastAsia="zh-CN"/>
        </w:rPr>
        <w:t>与论文定位</w:t>
      </w:r>
      <w:r>
        <w:t xml:space="preserve"> "CKI is a divergence index, not a classifier" </w:t>
      </w:r>
      <w:r>
        <w:rPr>
          <w:rFonts w:ascii="微软雅黑" w:eastAsia="微软雅黑" w:hAnsi="微软雅黑" w:cs="微软雅黑" w:hint="eastAsia"/>
          <w:lang w:eastAsia="zh-CN"/>
        </w:rPr>
        <w:t>相悖。</w:t>
      </w:r>
    </w:p>
    <w:p>
      <w:pPr>
        <w:pStyle w:val="ListBullet"/>
        <w:spacing w:after="96"/>
        <w:jc w:val="both"/>
      </w:pPr>
      <w:r>
        <w:t>Cover letter</w:t>
      </w:r>
      <w:r>
        <w:rPr>
          <w:rFonts w:ascii="微软雅黑" w:eastAsia="微软雅黑" w:hAnsi="微软雅黑" w:cs="微软雅黑" w:hint="eastAsia"/>
          <w:lang w:eastAsia="zh-CN"/>
        </w:rPr>
        <w:t>：摘要框架</w:t>
      </w:r>
      <w:r>
        <w:t xml:space="preserve"> "three dimensions" </w:t>
      </w:r>
      <w:r>
        <w:rPr>
          <w:rFonts w:ascii="微软雅黑" w:eastAsia="微软雅黑" w:hAnsi="微软雅黑" w:cs="微软雅黑" w:hint="eastAsia"/>
          <w:lang w:eastAsia="zh-CN"/>
        </w:rPr>
        <w:t>与正文</w:t>
      </w:r>
      <w:r>
        <w:t xml:space="preserve"> "four scales" </w:t>
      </w:r>
      <w:r>
        <w:rPr>
          <w:rFonts w:ascii="微软雅黑" w:eastAsia="微软雅黑" w:hAnsi="微软雅黑" w:cs="微软雅黑" w:hint="eastAsia"/>
          <w:lang w:eastAsia="zh-CN"/>
        </w:rPr>
        <w:t>不一；建议审稿人</w:t>
      </w:r>
      <w:r>
        <w:t xml:space="preserve"> Theis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scanpy </w:t>
      </w:r>
      <w:r>
        <w:rPr>
          <w:rFonts w:ascii="微软雅黑" w:eastAsia="微软雅黑" w:hAnsi="微软雅黑" w:cs="微软雅黑" w:hint="eastAsia"/>
          <w:lang w:eastAsia="zh-CN"/>
        </w:rPr>
        <w:t>作者）、</w:t>
      </w:r>
      <w:r>
        <w:t>Teichmann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ref[1] </w:t>
      </w:r>
      <w:r>
        <w:rPr>
          <w:rFonts w:ascii="微软雅黑" w:eastAsia="微软雅黑" w:hAnsi="微软雅黑" w:cs="微软雅黑" w:hint="eastAsia"/>
          <w:lang w:eastAsia="zh-CN"/>
        </w:rPr>
        <w:t>资深作者）或被视为利益关联；</w:t>
      </w:r>
      <w:r>
        <w:t xml:space="preserve">"None have recent collaborations" </w:t>
      </w:r>
      <w:r>
        <w:rPr>
          <w:rFonts w:ascii="微软雅黑" w:eastAsia="微软雅黑" w:hAnsi="微软雅黑" w:cs="微软雅黑" w:hint="eastAsia"/>
          <w:lang w:eastAsia="zh-CN"/>
        </w:rPr>
        <w:t>属无法担保的绝对化陈述。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术语与缩写：</w:t>
      </w:r>
      <w:r>
        <w:t xml:space="preserve">"DE" </w:t>
      </w:r>
      <w:r>
        <w:rPr>
          <w:rFonts w:ascii="微软雅黑" w:eastAsia="微软雅黑" w:hAnsi="微软雅黑" w:cs="微软雅黑" w:hint="eastAsia"/>
          <w:lang w:eastAsia="zh-CN"/>
        </w:rPr>
        <w:t>首用未定义；</w:t>
      </w:r>
      <w:r>
        <w:t xml:space="preserve">Table 1 </w:t>
      </w:r>
      <w:r>
        <w:rPr>
          <w:rFonts w:ascii="微软雅黑" w:eastAsia="微软雅黑" w:hAnsi="微软雅黑" w:cs="微软雅黑" w:hint="eastAsia"/>
          <w:lang w:eastAsia="zh-CN"/>
        </w:rPr>
        <w:t>表头</w:t>
      </w:r>
      <w:r>
        <w:t xml:space="preserve"> "CKI omega" </w:t>
      </w:r>
      <w:r>
        <w:rPr>
          <w:rFonts w:ascii="微软雅黑" w:eastAsia="微软雅黑" w:hAnsi="微软雅黑" w:cs="微软雅黑" w:hint="eastAsia"/>
          <w:lang w:eastAsia="zh-CN"/>
        </w:rPr>
        <w:t>与正文</w:t>
      </w:r>
      <w:r>
        <w:t xml:space="preserve"> ω </w:t>
      </w:r>
      <w:r>
        <w:rPr>
          <w:rFonts w:ascii="微软雅黑" w:eastAsia="微软雅黑" w:hAnsi="微软雅黑" w:cs="微软雅黑" w:hint="eastAsia"/>
          <w:lang w:eastAsia="zh-CN"/>
        </w:rPr>
        <w:t>拼写不一；摘要</w:t>
      </w:r>
      <w:r>
        <w:t xml:space="preserve"> "millions of cells" </w:t>
      </w:r>
      <w:r>
        <w:rPr>
          <w:rFonts w:ascii="微软雅黑" w:eastAsia="微软雅黑" w:hAnsi="微软雅黑" w:cs="微软雅黑" w:hint="eastAsia"/>
          <w:lang w:eastAsia="zh-CN"/>
        </w:rPr>
        <w:t>实际分析仅</w:t>
      </w:r>
      <w:r>
        <w:t xml:space="preserve"> 888,263 </w:t>
      </w:r>
      <w:r>
        <w:rPr>
          <w:rFonts w:ascii="微软雅黑" w:eastAsia="微软雅黑" w:hAnsi="微软雅黑" w:cs="微软雅黑" w:hint="eastAsia"/>
          <w:lang w:eastAsia="zh-CN"/>
        </w:rPr>
        <w:t>个非神经元核；摘要</w:t>
      </w:r>
      <w:r>
        <w:t xml:space="preserve"> "30 signatures (two with permutation support)" </w:t>
      </w:r>
      <w:r>
        <w:rPr>
          <w:rFonts w:ascii="微软雅黑" w:eastAsia="微软雅黑" w:hAnsi="微软雅黑" w:cs="微软雅黑" w:hint="eastAsia"/>
          <w:lang w:eastAsia="zh-CN"/>
        </w:rPr>
        <w:t>应区分阈值候选与统计支持。</w:t>
      </w:r>
    </w:p>
    <w:p>
      <w:pPr>
        <w:pStyle w:val="Heading2"/>
        <w:spacing w:before="640" w:after="224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32"/>
          <w:lang w:eastAsia="zh-CN"/>
        </w:rPr>
        <w:t>五、修订优先级建议（按投入产出排序）</w:t>
      </w:r>
    </w:p>
    <w:p>
      <w:pPr>
        <w:pStyle w:val="Heading3"/>
        <w:spacing w:before="364" w:after="130"/>
      </w:pPr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第一优先级：零成本、必须（预计 1-2 天）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清理投稿包重新打包（删除</w:t>
      </w:r>
      <w:r>
        <w:t xml:space="preserve"> ~$ble1-2.docx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.DS_Store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__MACOSX/</w:t>
      </w:r>
      <w:r>
        <w:rPr>
          <w:rFonts w:ascii="微软雅黑" w:eastAsia="微软雅黑" w:hAnsi="微软雅黑" w:cs="微软雅黑" w:hint="eastAsia"/>
          <w:lang w:eastAsia="zh-CN"/>
        </w:rPr>
        <w:t>）；修复</w:t>
      </w:r>
      <w:r>
        <w:t xml:space="preserve"> Supp Data </w:t>
      </w:r>
      <w:r>
        <w:rPr>
          <w:rFonts w:ascii="微软雅黑" w:eastAsia="微软雅黑" w:hAnsi="微软雅黑" w:cs="微软雅黑" w:hint="eastAsia"/>
          <w:lang w:eastAsia="zh-CN"/>
        </w:rPr>
        <w:t>声明（</w:t>
      </w:r>
      <w:r>
        <w:t>C6</w:t>
      </w:r>
      <w:r>
        <w:rPr>
          <w:rFonts w:ascii="微软雅黑" w:eastAsia="微软雅黑" w:hAnsi="微软雅黑" w:cs="微软雅黑" w:hint="eastAsia"/>
          <w:lang w:eastAsia="zh-CN"/>
        </w:rPr>
        <w:t>）；修复</w:t>
      </w:r>
      <w:r>
        <w:t xml:space="preserve"> Figure 2 </w:t>
      </w:r>
      <w:r>
        <w:rPr>
          <w:rFonts w:ascii="微软雅黑" w:eastAsia="微软雅黑" w:hAnsi="微软雅黑" w:cs="微软雅黑" w:hint="eastAsia"/>
          <w:lang w:eastAsia="zh-CN"/>
        </w:rPr>
        <w:t>类别矛盾（</w:t>
      </w:r>
      <w:r>
        <w:t>C7</w:t>
      </w:r>
      <w:r>
        <w:rPr>
          <w:rFonts w:ascii="微软雅黑" w:eastAsia="微软雅黑" w:hAnsi="微软雅黑" w:cs="微软雅黑" w:hint="eastAsia"/>
          <w:lang w:eastAsia="zh-CN"/>
        </w:rPr>
        <w:t>）；更正</w:t>
      </w:r>
      <w:r>
        <w:t xml:space="preserve"> BH </w:t>
      </w:r>
      <w:r>
        <w:rPr>
          <w:rFonts w:ascii="微软雅黑" w:eastAsia="微软雅黑" w:hAnsi="微软雅黑" w:cs="微软雅黑" w:hint="eastAsia"/>
          <w:lang w:eastAsia="zh-CN"/>
        </w:rPr>
        <w:t>引用；正文补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使用声明；修复</w:t>
      </w:r>
      <w:r>
        <w:t xml:space="preserve"> Limitations </w:t>
      </w:r>
      <w:r>
        <w:rPr>
          <w:rFonts w:ascii="微软雅黑" w:eastAsia="微软雅黑" w:hAnsi="微软雅黑" w:cs="微软雅黑" w:hint="eastAsia"/>
          <w:lang w:eastAsia="zh-CN"/>
        </w:rPr>
        <w:t>编号错乱。</w:t>
      </w:r>
    </w:p>
    <w:p>
      <w:pPr>
        <w:pStyle w:val="Heading3"/>
        <w:spacing w:before="364" w:after="130"/>
      </w:pPr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第二优先级：低成本、高回报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全文因果语言降级为关联性表述；脑分析降级为</w:t>
      </w:r>
      <w:r>
        <w:t xml:space="preserve"> hypothesis-generating</w:t>
      </w:r>
      <w:r>
        <w:rPr>
          <w:rFonts w:ascii="微软雅黑" w:eastAsia="微软雅黑" w:hAnsi="微软雅黑" w:cs="微软雅黑" w:hint="eastAsia"/>
          <w:lang w:eastAsia="zh-CN"/>
        </w:rPr>
        <w:t>；摘要</w:t>
      </w:r>
      <w:r>
        <w:t xml:space="preserve"> "30 signatures (two with permutation support)" </w:t>
      </w:r>
      <w:r>
        <w:rPr>
          <w:rFonts w:ascii="微软雅黑" w:eastAsia="微软雅黑" w:hAnsi="微软雅黑" w:cs="微软雅黑" w:hint="eastAsia"/>
          <w:lang w:eastAsia="zh-CN"/>
        </w:rPr>
        <w:t>改为区分阈值候选与统计支持；</w:t>
      </w:r>
      <w:r>
        <w:t xml:space="preserve">"migration candidates" </w:t>
      </w:r>
      <w:r>
        <w:rPr>
          <w:rFonts w:ascii="微软雅黑" w:eastAsia="微软雅黑" w:hAnsi="微软雅黑" w:cs="微软雅黑" w:hint="eastAsia"/>
          <w:lang w:eastAsia="zh-CN"/>
        </w:rPr>
        <w:t>改为</w:t>
      </w:r>
      <w:r>
        <w:t xml:space="preserve"> "developmental origin / regional specialization candidates"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spacing w:before="364" w:after="130"/>
      </w:pPr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第三优先级：需实质重新分析</w:t>
      </w:r>
    </w:p>
    <w:p>
      <w:pPr>
        <w:spacing w:after="180"/>
        <w:jc w:val="both"/>
      </w:pPr>
      <w:r>
        <w:t xml:space="preserve">rank-based </w:t>
      </w:r>
      <w:r>
        <w:rPr>
          <w:rFonts w:ascii="微软雅黑" w:eastAsia="微软雅黑" w:hAnsi="微软雅黑" w:cs="微软雅黑" w:hint="eastAsia"/>
          <w:lang w:eastAsia="zh-CN"/>
        </w:rPr>
        <w:t>替代绝对</w:t>
      </w:r>
      <w:r>
        <w:t xml:space="preserve"> ω_cal </w:t>
      </w:r>
      <w:r>
        <w:rPr>
          <w:rFonts w:ascii="微软雅黑" w:eastAsia="微软雅黑" w:hAnsi="微软雅黑" w:cs="微软雅黑" w:hint="eastAsia"/>
          <w:lang w:eastAsia="zh-CN"/>
        </w:rPr>
        <w:t>解读；各数据集独立</w:t>
      </w:r>
      <w:r>
        <w:t xml:space="preserve"> split-half </w:t>
      </w:r>
      <w:r>
        <w:rPr>
          <w:rFonts w:ascii="微软雅黑" w:eastAsia="微软雅黑" w:hAnsi="微软雅黑" w:cs="微软雅黑" w:hint="eastAsia"/>
          <w:lang w:eastAsia="zh-CN"/>
        </w:rPr>
        <w:t>校准；更严格</w:t>
      </w:r>
      <w:r>
        <w:t xml:space="preserve"> null </w:t>
      </w:r>
      <w:r>
        <w:rPr>
          <w:rFonts w:ascii="微软雅黑" w:eastAsia="微软雅黑" w:hAnsi="微软雅黑" w:cs="微软雅黑" w:hint="eastAsia"/>
          <w:lang w:eastAsia="zh-CN"/>
        </w:rPr>
        <w:t>模型（</w:t>
      </w:r>
      <w:r>
        <w:t>block-shuffle</w:t>
      </w:r>
      <w:r>
        <w:rPr>
          <w:rFonts w:ascii="微软雅黑" w:eastAsia="微软雅黑" w:hAnsi="微软雅黑" w:cs="微软雅黑" w:hint="eastAsia"/>
          <w:lang w:eastAsia="zh-CN"/>
        </w:rPr>
        <w:t>）；</w:t>
      </w:r>
      <w:r>
        <w:t xml:space="preserve">log-ω </w:t>
      </w:r>
      <w:r>
        <w:rPr>
          <w:rFonts w:ascii="微软雅黑" w:eastAsia="微软雅黑" w:hAnsi="微软雅黑" w:cs="微软雅黑" w:hint="eastAsia"/>
          <w:lang w:eastAsia="zh-CN"/>
        </w:rPr>
        <w:t>建模；</w:t>
      </w:r>
      <w:r>
        <w:t xml:space="preserve">AUC </w:t>
      </w:r>
      <w:r>
        <w:rPr>
          <w:rFonts w:ascii="微软雅黑" w:eastAsia="微软雅黑" w:hAnsi="微软雅黑" w:cs="微软雅黑" w:hint="eastAsia"/>
          <w:lang w:eastAsia="zh-CN"/>
        </w:rPr>
        <w:t>补交叉验证与</w:t>
      </w:r>
      <w:r>
        <w:t xml:space="preserve"> DeLong CI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TCGA </w:t>
      </w:r>
      <w:r>
        <w:rPr>
          <w:rFonts w:ascii="微软雅黑" w:eastAsia="微软雅黑" w:hAnsi="微软雅黑" w:cs="微软雅黑" w:hint="eastAsia"/>
          <w:lang w:eastAsia="zh-CN"/>
        </w:rPr>
        <w:t>纯度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解卷积敏感性分析；</w:t>
      </w:r>
      <w:r>
        <w:t xml:space="preserve">HK </w:t>
      </w:r>
      <w:r>
        <w:rPr>
          <w:rFonts w:ascii="微软雅黑" w:eastAsia="微软雅黑" w:hAnsi="微软雅黑" w:cs="微软雅黑" w:hint="eastAsia"/>
          <w:lang w:eastAsia="zh-CN"/>
        </w:rPr>
        <w:t>集合癌症特异性敏感性检验。</w:t>
      </w:r>
    </w:p>
    <w:p>
      <w:pPr>
        <w:pStyle w:val="Heading3"/>
        <w:spacing w:before="364" w:after="130"/>
      </w:pPr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第四优先级：可选加强</w:t>
      </w:r>
    </w:p>
    <w:p>
      <w:pPr>
        <w:spacing w:after="180"/>
        <w:jc w:val="both"/>
      </w:pPr>
      <w:r>
        <w:t xml:space="preserve">spike-in </w:t>
      </w:r>
      <w:r>
        <w:rPr>
          <w:rFonts w:ascii="微软雅黑" w:eastAsia="微软雅黑" w:hAnsi="微软雅黑" w:cs="微软雅黑" w:hint="eastAsia"/>
          <w:lang w:eastAsia="zh-CN"/>
        </w:rPr>
        <w:t>合成数据</w:t>
      </w:r>
      <w:r>
        <w:t xml:space="preserve"> ground-truth benchmark</w:t>
      </w:r>
      <w:r>
        <w:rPr>
          <w:rFonts w:ascii="微软雅黑" w:eastAsia="微软雅黑" w:hAnsi="微软雅黑" w:cs="微软雅黑" w:hint="eastAsia"/>
          <w:lang w:eastAsia="zh-CN"/>
        </w:rPr>
        <w:t>；与</w:t>
      </w:r>
      <w:r>
        <w:t xml:space="preserve"> CytoTRACE/inferCNV </w:t>
      </w:r>
      <w:r>
        <w:rPr>
          <w:rFonts w:ascii="微软雅黑" w:eastAsia="微软雅黑" w:hAnsi="微软雅黑" w:cs="微软雅黑" w:hint="eastAsia"/>
          <w:lang w:eastAsia="zh-CN"/>
        </w:rPr>
        <w:t>等领域工具比较。</w:t>
      </w:r>
      <w:r/>
    </w:p>
    <w:p>
      <w:pPr>
        <w:pStyle w:val="Heading2"/>
        <w:spacing w:before="640" w:after="224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/>
          <w:color w:val="1A237E"/>
          <w:sz w:val="32"/>
          <w:lang w:eastAsia="zh-CN"/>
        </w:rPr>
        <w:t>六、各专家总体评价摘录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专家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总体评价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</w:pPr>
            <w:r>
              <w:rPr>
                <w:rFonts w:ascii="Calibri" w:hAnsi="Calibri" w:eastAsia="Calibri"/>
                <w:b/>
                <w:color w:val="1565C0"/>
                <w:sz w:val="18"/>
              </w:rPr>
              <w:t>方法学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Major Revision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；若结构性缺陷（循环依赖、校准不稳定、方案不一致、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值地板）无法在修订中解决，应考虑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Reject &amp; Resubmit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</w:pPr>
            <w:r>
              <w:rPr>
                <w:rFonts w:ascii="Calibri" w:hAnsi="Calibri" w:eastAsia="Calibri"/>
                <w:b/>
                <w:color w:val="1565C0"/>
                <w:sz w:val="18"/>
              </w:rPr>
              <w:t>统计学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Major Revision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；核心统计推断链存在三处实质缺陷（脑分析多重比较失效、基因选择循环性、校准外推与低分母退化），若不愿实质改动统计设计，当前证据强度不足以支撑摘要中的因果式宣传，存在拒稿风险。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</w:pPr>
            <w:r>
              <w:rPr>
                <w:rFonts w:ascii="Calibri" w:hAnsi="Calibri" w:eastAsia="Calibri"/>
                <w:b/>
                <w:color w:val="1565C0"/>
                <w:sz w:val="18"/>
              </w:rPr>
              <w:t>生物学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大修后可能接收；在解决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HK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中性基线论证（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）与校准可转移性（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C2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TCGA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伪影混淆、领域方法比较之前，不适合以当前形式接收。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</w:pPr>
            <w:r>
              <w:rPr>
                <w:rFonts w:ascii="Calibri" w:hAnsi="Calibri" w:eastAsia="Calibri"/>
                <w:b/>
                <w:color w:val="1565C0"/>
                <w:sz w:val="18"/>
              </w:rPr>
              <w:t>写作</w:t>
            </w:r>
            <w:r>
              <w:rPr>
                <w:rFonts w:ascii="Calibri" w:hAnsi="Calibri" w:eastAsia="Calibri"/>
                <w:b/>
                <w:color w:val="1565C0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color w:val="1565C0"/>
                <w:sz w:val="18"/>
              </w:rPr>
              <w:t>/</w:t>
            </w:r>
            <w:r>
              <w:rPr>
                <w:rFonts w:ascii="Calibri" w:hAnsi="Calibri" w:eastAsia="Calibri"/>
                <w:b/>
                <w:color w:val="1565C0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color w:val="1565C0"/>
                <w:sz w:val="18"/>
              </w:rPr>
              <w:t>期刊策略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spacing w:line="240" w:lineRule="auto" w:before="45" w:after="45"/>
            </w:pPr>
            <w:r>
              <w:rPr>
                <w:sz w:val="18"/>
              </w:rPr>
              <w:t>科学内容扎实、写作总体流畅、图表引用完整、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Data/Code availability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完善；主要问题集中于投稿包卫生、声明与实际不符、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Methods/Discussion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冗长与内部编号矛盾。修复第一优先级问题后，预计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1-2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周内可达到投稿成熟度。</w:t>
            </w:r>
          </w:p>
        </w:tc>
      </w:tr>
    </w:tbl>
    <w:p>
      <w:pPr>
        <w:spacing w:before="360" w:after="135"/>
        <w:jc w:val="both"/>
        <w:pBdr>
          <w:top w:val="single" w:sz="6" w:space="0" w:color="E0E0E0"/>
        </w:pBdr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附注：本报告基于四位专家对</w:t>
      </w:r>
      <w:r>
        <w:rPr>
          <w:color w:val="616161"/>
          <w:sz w:val="18"/>
        </w:rPr>
        <w:t xml:space="preserve"> version5/submitting_version.zip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的独立审稿意见汇总，审稿过程为纯评审模式，未对任何原文件做实际改动。原稿件、图表与投稿包均保持原样。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