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13,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baseline-normalized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ω across three dimensions: (1) an independent information dimension—CKI ω captures information that standard metrics miss, showing negative correlation with all four standard distance metrics (Spearman r = −0.57 to −0.38, all P &lt; 0.001), demonstrating that it measures something fundamentally different from Cosine similarity, JS divergence, and other existing approaches; (2) cross-dataset consistency—CKI ω rankings are reproducible across independent datasets and parameter settings, with calibration establishing an empirical baseline for equivalent populations; and (3) two biological applications—pan-cancer analysis revealing that tumors are more transcriptionally homogeneous than normal tissues (median NN/TT ratio 1.40–2.83), and brain regional analysis identifying 30 threshold-passing candidates (16 statistically significant)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 The CKI package is implemented in Python (≥3.10)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