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28"/>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from millions of cells. Calibration confirmed an empirical baseline for equivalent populations (mean ω = 6.67, 95% bootstrap CI [4.12, 9.33], all P &gt; 0.05), inflated above theoretical unity by highly variable gene selection. CKI ω was negatively correlated with all standard distance metrics (Spearman r = −0.38 to −0.57, all P &lt; 0.001), indicating it captures an independent information dimension. Cancer analysis revealed transcriptional convergence across genetically diverse tumors. Brain analysis identified 30 cell-type developmental signatures spanning four biological mechanisms (two with permutation support) among 31,764 comparisons. CKI provides a principled framework for quantifying functional divergence against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40).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with permutation support), as well as colonization route boundaries and a postnatal migration event (exploratory, not reaching the permutation P-value floor)—from adult transcriptomic data.</w:t>
      </w:r>
    </w:p>
    <w:p>
      <w:pPr>
        <w:pStyle w:val="Heading1"/>
        <w:spacing w:before="420" w:after="160"/>
      </w:pPr>
      <w:r>
        <w:rPr>
          <w:rFonts w:ascii="Arial" w:hAnsi="Arial"/>
          <w:color w:val="000000"/>
          <w:sz w:val="28"/>
          <w:b/>
        </w:rPr>
        <w:t>Materials and 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(42) uses the base-2 logarithm (range [0, 1]).</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3.13.12 with scanpy &gt;= 1.9.0 (14), scipy &gt;= 1.10.0, numpy &gt;= 1.23.0, pandas &gt;= 1.5.0, matplotlib &gt;= 3.6.0, seaborn (46) &gt;= 0.12.0, and scikit-learn (45)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(43)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4"/>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52%),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8–12. The calibrate_omega() function is available in the CKI package.</w:t>
      </w:r>
    </w:p>
    <w:p>
      <w:pPr>
        <w:pStyle w:val="Heading2"/>
        <w:spacing w:before="420" w:after="160"/>
      </w:pPr>
      <w:r>
        <w:rPr>
          <w:rFonts w:ascii="Arial" w:hAnsi="Arial"/>
          <w:color w:val="000000"/>
          <w:sz w:val="24"/>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ranked 4th of 5 methods, above Spearman distance at AUC = 0.690 but below cosine distance at AUC = 0.887; Table 1; Supplementary Fig. S4). This moderate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4"/>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 Supplementary Fig. S3).</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 Supplementary Fig. S5)?</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4"/>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 Supplementary Fig. S6).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(41).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(34) and meningeal structures (35)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 complementary transcriptomic readout of migration history.</w:t>
      </w:r>
    </w:p>
    <w:p>
      <w:pPr>
        <w:pStyle w:val="Heading2"/>
        <w:spacing w:before="420" w:after="160"/>
      </w:pPr>
      <w:r>
        <w:rPr>
          <w:rFonts w:ascii="Arial" w:hAnsi="Arial"/>
          <w:color w:val="000000"/>
          <w:sz w:val="24"/>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(31–33)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These mechanisms are not mutually exclusive; a given cell-type/region-pair signal may involve overlapping processes (e.g., developmental origin and compartmentalized specification jointly shaping astrocyte thalamic signatures).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 Supplementary Fig. S7).</w:t>
      </w:r>
    </w:p>
    <w:p>
      <w:pPr>
        <w:spacing w:line="276" w:lineRule="auto" w:after="80"/>
        <w:ind w:firstLine="0"/>
      </w:pPr>
      <w:r>
        <w:rPr>
          <w:rFonts w:ascii="Arial" w:hAnsi="Arial"/>
          <w:b w:val="0"/>
          <w:i w:val="0"/>
          <w:color w:val="000000"/>
          <w:sz w:val="22"/>
        </w:rPr>
        <w:t>Among 31,764 cross-region comparisons, threshold criteria (residual &lt; 0.3, ω &lt; 15) identified 30 (0.09%) threshold-passing candidates: Astrocyte (6), oligodendrocyte (10), microglia (10), fibroblast (1), and vascular cells (3). Another 1,247 pairs (3.93%) were Moderate candidates, and 6,567 (20.67%) were Weak candidates. Permutation testing (B = 10,000) revealed that 16 of these 30 candidates reached the permutation P-value floor (P = 9.99 × 10⁻⁵): all 6 astrocyte and all 10 oligodendrocyte signals. We designate these 16 as Strong signals and describe them in detail below. The remaining 14 threshold-passing candidates (10 microglia, 1 fibroblast, 3 vascular) showed no evidence of deviation from the multiplicative null model (all P ≥ 0.76); their biological interpretation is deferred to the Discussion. Given the large number of tests (m = 31,764) and P-value floor saturation (36.3% of signals at P = 9.99 × 10⁻⁵), formal FDR correction is not applicable; the 16 floor-reaching signals are interpreted as descriptive evidence rather than FDR-controlled discoveries; Supplementary Fig. S9).</w:t>
      </w:r>
    </w:p>
    <w:p>
      <w:pPr>
        <w:pStyle w:val="Heading3"/>
        <w:spacing w:before="420" w:after="160"/>
      </w:pPr>
      <w:r>
        <w:rPr>
          <w:rFonts w:ascii="Arial" w:hAnsi="Arial"/>
          <w:color w:val="000000"/>
          <w:sz w:val="22"/>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2"/>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2"/>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2"/>
          <w:b/>
        </w:rPr>
        <w:t>Bergmann glia: cerebellar molecular topography</w:t>
      </w:r>
    </w:p>
    <w:p>
      <w:pPr>
        <w:spacing w:line="276" w:lineRule="auto" w:after="80"/>
        <w:ind w:firstLine="0"/>
      </w:pPr>
      <w:r>
        <w:rPr>
          <w:rFonts w:ascii="Arial" w:hAnsi="Arial"/>
          <w:b w:val="0"/>
          <w:i w:val="0"/>
          <w:color w:val="000000"/>
          <w:sz w:val="22"/>
        </w:rPr>
        <w:t>Bergmann glia had the lowest global ω (2.37) and no Strong signals,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astrocyte CBL (cerebellar lobule) vs. CBV (cerebellar vermis) Strong signal reflects the established molecular topography difference across cerebellar compartments, rather than any migratory event.</w:t>
      </w:r>
    </w:p>
    <w:p>
      <w:pPr>
        <w:pStyle w:val="Heading3"/>
        <w:spacing w:before="420" w:after="160"/>
      </w:pPr>
      <w:r>
        <w:rPr>
          <w:rFonts w:ascii="Arial" w:hAnsi="Arial"/>
          <w:color w:val="000000"/>
          <w:sz w:val="22"/>
          <w:b/>
        </w:rPr>
        <w:t>Threshold-passing but non-significant signals</w:t>
      </w:r>
    </w:p>
    <w:p>
      <w:pPr>
        <w:spacing w:line="276" w:lineRule="auto" w:after="80"/>
        <w:ind w:firstLine="0"/>
      </w:pPr>
      <w:r>
        <w:rPr>
          <w:rFonts w:ascii="Arial" w:hAnsi="Arial"/>
          <w:b w:val="0"/>
          <w:i w:val="0"/>
          <w:color w:val="000000"/>
          <w:sz w:val="22"/>
        </w:rPr>
        <w:t>Microglia (10), fibroblast (1), and vascular cells (3) produced threshold-passing Strong candidate signals (residual &lt; 0.3, ω &lt; 15), but none reached statistical significance in permutation testing (all P ≥ 0.76). These 14 signals are likely dominated by stochastic variation in the high-dimensional ω landscape and should not be interpreted as evidence of biological structure. We discuss the theoretical biological context for each cell type in the Discussion, while emphasizing that none of these signals constitute statistically supported findings.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in all 5 cancer types, the aggregate tumor-versus-normal k_n reached the floor value of 1 × 10⁻⁴, compared to mean k_n of 0.048–0.073 in single-cell datasets where single-cell resolution preserves intercellular HK gene variance. Meanwhile, tumor-specific DE gene differences are preserved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identified 30 threshold-passing candidates by predefined criteria; permutation testing (B = 10,000) confirmed that 16 of these reached the permutation P-value floor (P = 9.99 × 10⁻⁵), providing strong evidence of deviation from the multiplicative null model. The 16 Strong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the 14 remaining threshold-passing candidates—10 microglia, 1 fibroblast, and 3 vascular—were non-significant (all P ≥ 0.76), suggesting they may reflect stochastic variation rather than robust biological patterns. Importantly, OPCs—the most actively migrating cells in the adult CNS (25,26)—yielded 0 Strong signals among 5,671 comparisons, providing a notable complementary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(47),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Eighteenth, the one-sided permutation test (H1: ω_obs &gt; ω_null) does not detect functional constraint (ω_obs &lt; ω_null); users investigating bidirectional hypotheses should employ two-sided permutation tests, available via the direction parameter in the CKI package. Nineteenth, the residual model permutation test (B = 10,000) reached the P-value floor (9.99 × 10⁻⁵) for 36.3% of signals. An alternative interpretation is that the null distribution, constructed by shuffling cell-type labels within region pairs, is narrower than the true null because cell types differ in global plasticity; a null that accounts for cell-type-specific baseline plasticity could reduce the saturation rate, though constructing such a null would require modeling the covariance structure of ω across cell types and region pairs. Twentieth, the k_n floor value (1 × 10⁻⁴) was reached in all 5 TCGA cancer types for the aggregate tumor-versus-normal k_n, compared to mean k_n of 0.048–0.073 in single-cell datasets. Because the k_n floor caps the denominator in ω = k_f/k_n, ω values from datasets where k_n saturates at the floor are systematically inflated relative to datasets with higher k_n. While this inflation does not affect rank-based interpretation within a dataset, it limits the comparability of absolute ω magnitudes between the TCGA (bulk RNA-seq) and single-cell dataset analyses. Twenty-first, the brain analysis was restricted to non-neuronal cell types because the supercluster_term annotation does not resolve neuronal subtype heterogeneity; this limits the generalizability of our brain regional findings to non-neuronal lineages and should be noted when interpreting the scope of our cross-region analysis.</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(38). TCGA data: NCI Genomic Data Commons (https://portal.gdc.cancer.gov/). HRT Atlas (optional human/mouse HK reference): https://www.housekeeping.unicamp.br. Human brain atlas: CZ CELLxGENE Discover (collection ID as referenced in (11), accessed July 2025).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included in the Supplementary Data.</w:t>
      </w:r>
    </w:p>
    <w:p>
      <w:pPr>
        <w:pStyle w:val="Heading1"/>
        <w:spacing w:before="420" w:after="160"/>
      </w:pPr>
      <w:r>
        <w:rPr>
          <w:rFonts w:ascii="Arial" w:hAnsi="Arial"/>
          <w:color w:val="000000"/>
          <w:sz w:val="28"/>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L.Z. conceived the study, developed the CKI algorithm, performed all analyses, and wrote the manuscript. X.W. contributed to data analysis and manuscript revision. Both authors read and approved the final manuscript.</w:t>
      </w:r>
    </w:p>
    <w:p>
      <w:pPr>
        <w:pStyle w:val="Heading1"/>
        <w:spacing w:before="420" w:after="160"/>
      </w:pPr>
      <w:r>
        <w:rPr>
          <w:rFonts w:ascii="Arial" w:hAnsi="Arial"/>
          <w:color w:val="000000"/>
          <w:sz w:val="28"/>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28"/>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complementary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28"/>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6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20"/>
        </w:rPr>
        <w:t>Lopez,R., Regier,J., Cole,M.B., Jordan,M.I. and Yosef,N. (2018) Deep generative modeling for single-cell transcriptomics. *Nat. Methods*, **15**, 1053–1058.</w:t>
      </w:r>
    </w:p>
    <w:p>
      <w:pPr>
        <w:spacing w:line="276" w:lineRule="auto" w:after="6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20"/>
        </w:rPr>
        <w:t>Tabula Muris Consortium (2018) Single-cell transcriptomics of 20 mouse organs creates a Tabula Muris. *Nature*, **562**, 367–372.</w:t>
      </w:r>
    </w:p>
    <w:p>
      <w:pPr>
        <w:spacing w:line="276" w:lineRule="auto" w:after="60"/>
      </w:pPr>
      <w:r>
        <w:rPr>
          <w:rFonts w:ascii="Arial" w:hAnsi="Arial"/>
          <w:color w:val="000000"/>
          <w:sz w:val="20"/>
        </w:rPr>
        <w:t>Tabula Sapiens Consortium (2022) The Tabula Sapiens: a multiple-organ, single-cell transcriptomic atlas of humans. *Science*, **376**, eabl4896.</w:t>
      </w:r>
    </w:p>
    <w:p>
      <w:pPr>
        <w:spacing w:line="276" w:lineRule="auto" w:after="60"/>
      </w:pPr>
      <w:r>
        <w:rPr>
          <w:rFonts w:ascii="Arial" w:hAnsi="Arial"/>
          <w:color w:val="000000"/>
          <w:sz w:val="20"/>
        </w:rPr>
        <w:t>Cancer Genome Atlas Research Network (2014) Comprehensive molecular profiling of lung adenocarcinoma. *Nature*, **511**, 543–550.</w:t>
      </w:r>
    </w:p>
    <w:p>
      <w:pPr>
        <w:spacing w:line="276" w:lineRule="auto" w:after="60"/>
      </w:pPr>
      <w:r>
        <w:rPr>
          <w:rFonts w:ascii="Arial" w:hAnsi="Arial"/>
          <w:color w:val="000000"/>
          <w:sz w:val="20"/>
        </w:rPr>
        <w:t>Cancer Genome Atlas Network (2012) Comprehensive molecular portraits of human breast tumours. *Nature*, **490**, 61–70.</w:t>
      </w:r>
    </w:p>
    <w:p>
      <w:pPr>
        <w:spacing w:line="276" w:lineRule="auto" w:after="6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20"/>
        </w:rPr>
        <w:t>Luecken,M.D. and Theis,F.J. (2019) Current best practices in single-cell RNA-seq analysis: a tutorial. *Mol. Syst. Biol.*, **15**, e8746.</w:t>
      </w:r>
    </w:p>
    <w:p>
      <w:pPr>
        <w:spacing w:line="276" w:lineRule="auto" w:after="6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20"/>
        </w:rPr>
        <w:t>Wolf,F.A., Angerer,P. and Theis,F.J. (2018) SCANPY: large-scale single-cell gene expression data analysis. *Genome Biol.*, **19**, 15.</w:t>
      </w:r>
    </w:p>
    <w:p>
      <w:pPr>
        <w:spacing w:line="276" w:lineRule="auto" w:after="6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20"/>
        </w:rPr>
        <w:t>Edmondson,H.A. and Steiner,P.E. (1954) Primary carcinoma of the liver: a study of 100 cases among 48,900 necropsies. *Cancer*, **7**, 462–503.</w:t>
      </w:r>
    </w:p>
    <w:p>
      <w:pPr>
        <w:spacing w:line="276" w:lineRule="auto" w:after="60"/>
      </w:pPr>
      <w:r>
        <w:rPr>
          <w:rFonts w:ascii="Arial" w:hAnsi="Arial"/>
          <w:color w:val="000000"/>
          <w:sz w:val="20"/>
        </w:rPr>
        <w:t>Storey,J.D. and Tibshirani,R. (2003) Statistical significance for genomewide studies. *Proc. Natl. Acad. Sci. USA*, **100**, 9440–9445.</w:t>
      </w:r>
    </w:p>
    <w:p>
      <w:pPr>
        <w:spacing w:line="276" w:lineRule="auto" w:after="6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20"/>
        </w:rPr>
        <w:t>Reeber,S.L., Arancillo,M. and Sillitoe,R.V. (2015) Bergmann glia are patterned into topographic molecular zones in the cerebellum. *Cerebellum*, **14**, 392–403.</w:t>
      </w:r>
    </w:p>
    <w:p>
      <w:pPr>
        <w:spacing w:line="276" w:lineRule="auto" w:after="6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20"/>
        </w:rPr>
        <w:t>Shemer,A. and Jung,S. (2024) The molecular determinants of microglial developmental colonization. *Nat. Rev. Neurosci.*, **25**, 414–427.</w:t>
      </w:r>
    </w:p>
    <w:p>
      <w:pPr>
        <w:spacing w:line="276" w:lineRule="auto" w:after="6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20"/>
        </w:rPr>
        <w:t>Yang,Z. (2007) PAML 4: phylogenetic analysis by maximum likelihood. *Mol. Biol. Evol.*, **24**, 1586–1591.</w:t>
      </w:r>
    </w:p>
    <w:p>
      <w:pPr>
        <w:spacing w:line="276" w:lineRule="auto" w:after="60"/>
      </w:pPr>
      <w:r>
        <w:rPr>
          <w:rFonts w:ascii="Arial" w:hAnsi="Arial"/>
          <w:color w:val="000000"/>
          <w:sz w:val="20"/>
        </w:rPr>
        <w:t>Tan,Y.L., Yuan,Y. and Tian,L. (2020) Microglial regional heterogeneity and its role in the brain. *Mol. Psychiatry*, **25**, 351–367.</w:t>
      </w:r>
    </w:p>
    <w:p>
      <w:pPr>
        <w:spacing w:line="276" w:lineRule="auto" w:after="60"/>
      </w:pPr>
      <w:r>
        <w:rPr>
          <w:rFonts w:ascii="Arial" w:hAnsi="Arial"/>
          <w:color w:val="000000"/>
          <w:sz w:val="20"/>
        </w:rPr>
        <w:t>Lin,J. (1991) Divergence measures based on the Shannon entropy. *IEEE Trans. Inf. Theory*, **37**, 145–151.</w:t>
      </w:r>
    </w:p>
    <w:p>
      <w:pPr>
        <w:spacing w:line="276" w:lineRule="auto" w:after="60"/>
      </w:pPr>
      <w:r>
        <w:rPr>
          <w:rFonts w:ascii="Arial" w:hAnsi="Arial"/>
          <w:color w:val="000000"/>
          <w:sz w:val="20"/>
        </w:rPr>
        <w:t>Efron,B. and Tibshirani,R.J. (1994) An Introduction to the Bootstrap. Chapman and Hall/CRC, New York.</w:t>
      </w:r>
    </w:p>
    <w:p>
      <w:pPr>
        <w:spacing w:line="276" w:lineRule="auto" w:after="60"/>
      </w:pPr>
      <w:r>
        <w:rPr>
          <w:rFonts w:ascii="Arial" w:hAnsi="Arial"/>
          <w:color w:val="000000"/>
          <w:sz w:val="20"/>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20"/>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20"/>
        </w:rPr>
        <w:t>Waskom,M.L. (2021) seaborn: statistical data visualization. *J. Open Source Softw.*, **6**, 3021.</w:t>
      </w:r>
    </w:p>
    <w:p>
      <w:pPr>
        <w:spacing w:line="276" w:lineRule="auto" w:after="60"/>
      </w:pPr>
      <w:r>
        <w:rPr>
          <w:rFonts w:ascii="Arial" w:hAnsi="Arial"/>
          <w:color w:val="000000"/>
          <w:sz w:val="20"/>
        </w:rPr>
        <w:t>Butte,A.J., Dzau,V.J. and Glueck,S.B. (2001) Further defining housekeeping, or maintenance, genes: focus on A compendium of gene expression in normal human tissues. *Physiol. Genomics*, **7**, 95-96.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